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anchor distT="0" distB="0" distL="114300" distR="114300" simplePos="0" relativeHeight="251659264" behindDoc="0" locked="0" layoutInCell="1" allowOverlap="1">
            <wp:simplePos x="0" y="0"/>
            <wp:positionH relativeFrom="column">
              <wp:posOffset>4464050</wp:posOffset>
            </wp:positionH>
            <wp:positionV relativeFrom="paragraph">
              <wp:posOffset>-422275</wp:posOffset>
            </wp:positionV>
            <wp:extent cx="857885" cy="299720"/>
            <wp:effectExtent l="0" t="0" r="0" b="508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692" cy="299801"/>
                    </a:xfrm>
                    <a:prstGeom prst="rect">
                      <a:avLst/>
                    </a:prstGeom>
                  </pic:spPr>
                </pic:pic>
              </a:graphicData>
            </a:graphic>
          </wp:anchor>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英国剑桥大学</w:t>
      </w:r>
      <w:r>
        <w:rPr>
          <w:rFonts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国际医疗与健康</w:t>
      </w:r>
      <w:r>
        <w:rPr>
          <w:rFonts w:asciiTheme="minorHAnsi" w:hAnsiTheme="minorHAnsi" w:eastAsiaTheme="majorEastAsia" w:cstheme="minorHAnsi"/>
          <w:b/>
          <w:kern w:val="0"/>
          <w:sz w:val="32"/>
          <w:szCs w:val="21"/>
        </w:rPr>
        <w:t>项目</w:t>
      </w:r>
      <w:r>
        <w:rPr>
          <w:rFonts w:asciiTheme="minorHAnsi" w:hAnsiTheme="minorHAnsi" w:eastAsiaTheme="majorEastAsia" w:cstheme="minorHAnsi"/>
          <w:b/>
          <w:bCs/>
          <w:sz w:val="24"/>
        </w:rPr>
        <w:br w:type="textWrapping"/>
      </w:r>
    </w:p>
    <w:p>
      <w:pPr>
        <w:pStyle w:val="21"/>
        <w:widowControl/>
        <w:numPr>
          <w:ilvl w:val="0"/>
          <w:numId w:val="1"/>
        </w:numPr>
        <w:spacing w:line="360" w:lineRule="auto"/>
        <w:ind w:firstLineChars="0"/>
        <w:rPr>
          <w:rFonts w:cs="Calibri" w:asciiTheme="minorHAnsi" w:hAnsiTheme="minorHAnsi"/>
          <w:b/>
          <w:kern w:val="0"/>
          <w:szCs w:val="21"/>
        </w:rPr>
      </w:pPr>
      <w:r>
        <w:rPr>
          <w:rFonts w:hint="eastAsia" w:cs="Calibri" w:asciiTheme="minorHAnsi" w:hAnsiTheme="minorHAnsi"/>
          <w:b/>
          <w:kern w:val="0"/>
          <w:szCs w:val="21"/>
        </w:rPr>
        <w:t>项目概览</w:t>
      </w:r>
    </w:p>
    <w:p>
      <w:pPr>
        <w:widowControl/>
        <w:spacing w:line="360" w:lineRule="auto"/>
        <w:ind w:firstLine="42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本项目由英国剑桥大学格顿学院特别为国内医学专业学生设计，一方面将透过国际视角，围绕对世界人口构成巨大负担的传染病和非传染病开展多样性分析调查；另一方面将介绍循证医学的一些重要原则，并指导学生完成医学类科学研究论文的批判性分析过程。学生将有机会在项目结束前展示自己的科研成果。</w:t>
      </w:r>
      <w:bookmarkStart w:id="0" w:name="_Hlk50986984"/>
    </w:p>
    <w:p>
      <w:pPr>
        <w:widowControl/>
        <w:spacing w:line="360" w:lineRule="auto"/>
        <w:ind w:firstLine="420" w:firstLineChars="200"/>
        <w:jc w:val="left"/>
        <w:rPr>
          <w:rFonts w:asciiTheme="minorHAnsi" w:hAnsiTheme="minorHAnsi" w:eastAsiaTheme="majorEastAsia" w:cstheme="minorHAnsi"/>
          <w:kern w:val="0"/>
          <w:szCs w:val="21"/>
        </w:rPr>
      </w:pPr>
    </w:p>
    <w:p>
      <w:pPr>
        <w:pStyle w:val="25"/>
        <w:widowControl/>
        <w:numPr>
          <w:ilvl w:val="0"/>
          <w:numId w:val="1"/>
        </w:numPr>
        <w:spacing w:line="360" w:lineRule="auto"/>
        <w:ind w:firstLineChars="0"/>
        <w:jc w:val="left"/>
        <w:rPr>
          <w:rFonts w:cs="Calibri" w:asciiTheme="minorHAnsi" w:hAnsiTheme="minorHAnsi"/>
          <w:b/>
          <w:bCs/>
          <w:color w:val="000000" w:themeColor="text1"/>
          <w:szCs w:val="21"/>
          <w14:textFill>
            <w14:solidFill>
              <w14:schemeClr w14:val="tx1"/>
            </w14:solidFill>
          </w14:textFill>
        </w:rPr>
      </w:pPr>
      <w:r>
        <w:rPr>
          <w:rFonts w:hint="eastAsia" w:cs="Calibri" w:asciiTheme="minorHAnsi" w:hAnsiTheme="minorHAnsi"/>
          <w:b/>
          <w:bCs/>
          <w:color w:val="000000" w:themeColor="text1"/>
          <w:szCs w:val="21"/>
          <w14:textFill>
            <w14:solidFill>
              <w14:schemeClr w14:val="tx1"/>
            </w14:solidFill>
          </w14:textFill>
        </w:rPr>
        <w:t>特色与优势</w:t>
      </w:r>
    </w:p>
    <w:p>
      <w:pPr>
        <w:pStyle w:val="25"/>
        <w:widowControl/>
        <w:numPr>
          <w:ilvl w:val="0"/>
          <w:numId w:val="2"/>
        </w:numPr>
        <w:spacing w:line="360" w:lineRule="auto"/>
        <w:ind w:firstLineChars="0"/>
        <w:jc w:val="left"/>
        <w:rPr>
          <w:rFonts w:cs="Calibri" w:asciiTheme="minorHAnsi" w:hAnsiTheme="minorHAnsi"/>
          <w:color w:val="000000" w:themeColor="text1"/>
          <w:szCs w:val="21"/>
          <w14:textFill>
            <w14:solidFill>
              <w14:schemeClr w14:val="tx1"/>
            </w14:solidFill>
          </w14:textFill>
        </w:rPr>
      </w:pPr>
      <w:r>
        <w:rPr>
          <w:rFonts w:hint="eastAsia" w:cs="Calibri" w:asciiTheme="minorHAnsi" w:hAnsiTheme="minorHAnsi"/>
          <w:color w:val="000000" w:themeColor="text1"/>
          <w:szCs w:val="21"/>
          <w14:textFill>
            <w14:solidFill>
              <w14:schemeClr w14:val="tx1"/>
            </w14:solidFill>
          </w14:textFill>
        </w:rPr>
        <w:t>【纯正的剑桥医学课程】由剑桥临床医学院副院长领衔参与设计与授课，两位授课老师均为经验丰富的执业医师；</w:t>
      </w:r>
    </w:p>
    <w:p>
      <w:pPr>
        <w:pStyle w:val="25"/>
        <w:widowControl/>
        <w:numPr>
          <w:ilvl w:val="0"/>
          <w:numId w:val="2"/>
        </w:numPr>
        <w:spacing w:line="360" w:lineRule="auto"/>
        <w:ind w:firstLineChars="0"/>
        <w:jc w:val="left"/>
        <w:rPr>
          <w:rFonts w:cs="Calibri" w:asciiTheme="minorHAnsi" w:hAnsiTheme="minorHAnsi"/>
          <w:color w:val="000000" w:themeColor="text1"/>
          <w:szCs w:val="21"/>
          <w14:textFill>
            <w14:solidFill>
              <w14:schemeClr w14:val="tx1"/>
            </w14:solidFill>
          </w14:textFill>
        </w:rPr>
      </w:pPr>
      <w:r>
        <w:rPr>
          <w:rFonts w:hint="eastAsia" w:cs="Calibri" w:asciiTheme="minorHAnsi" w:hAnsiTheme="minorHAnsi"/>
          <w:color w:val="000000" w:themeColor="text1"/>
          <w:szCs w:val="21"/>
          <w14:textFill>
            <w14:solidFill>
              <w14:schemeClr w14:val="tx1"/>
            </w14:solidFill>
          </w14:textFill>
        </w:rPr>
        <w:t>【多元的课程主题】涵盖当今最主流的传染病与非传染病分析，并配合总结性的</w:t>
      </w:r>
      <w:r>
        <w:rPr>
          <w:rFonts w:hint="eastAsia" w:asciiTheme="minorHAnsi" w:hAnsiTheme="minorHAnsi" w:eastAsiaTheme="majorEastAsia" w:cstheme="minorHAnsi"/>
          <w:color w:val="000000" w:themeColor="text1"/>
          <w:szCs w:val="21"/>
          <w14:textFill>
            <w14:solidFill>
              <w14:schemeClr w14:val="tx1"/>
            </w14:solidFill>
          </w14:textFill>
        </w:rPr>
        <w:t>疫情调查专场探讨；</w:t>
      </w:r>
    </w:p>
    <w:p>
      <w:pPr>
        <w:pStyle w:val="25"/>
        <w:widowControl/>
        <w:numPr>
          <w:ilvl w:val="0"/>
          <w:numId w:val="2"/>
        </w:numPr>
        <w:spacing w:line="360" w:lineRule="auto"/>
        <w:ind w:firstLineChars="0"/>
        <w:jc w:val="left"/>
        <w:rPr>
          <w:rFonts w:cs="Calibri" w:asciiTheme="minorHAnsi" w:hAnsiTheme="minorHAnsi"/>
          <w:color w:val="000000" w:themeColor="text1"/>
          <w:szCs w:val="21"/>
          <w14:textFill>
            <w14:solidFill>
              <w14:schemeClr w14:val="tx1"/>
            </w14:solidFill>
          </w14:textFill>
        </w:rPr>
      </w:pPr>
      <w:r>
        <w:rPr>
          <w:rFonts w:hint="eastAsia" w:cs="Calibri" w:asciiTheme="minorHAnsi" w:hAnsiTheme="minorHAnsi"/>
          <w:color w:val="000000" w:themeColor="text1"/>
          <w:szCs w:val="21"/>
          <w14:textFill>
            <w14:solidFill>
              <w14:schemeClr w14:val="tx1"/>
            </w14:solidFill>
          </w14:textFill>
        </w:rPr>
        <w:t>【官方品质项目】</w:t>
      </w:r>
      <w:r>
        <w:rPr>
          <w:rFonts w:hint="eastAsia" w:cs="Calibri" w:asciiTheme="minorHAnsi" w:hAnsiTheme="minorHAnsi"/>
          <w:szCs w:val="21"/>
        </w:rPr>
        <w:t>学生可获权使用剑桥大学官方教学系统M</w:t>
      </w:r>
      <w:r>
        <w:rPr>
          <w:rFonts w:cs="Calibri" w:asciiTheme="minorHAnsi" w:hAnsiTheme="minorHAnsi"/>
          <w:szCs w:val="21"/>
        </w:rPr>
        <w:t xml:space="preserve">oodle, </w:t>
      </w:r>
      <w:r>
        <w:rPr>
          <w:rFonts w:hint="eastAsia" w:cs="Calibri" w:asciiTheme="minorHAnsi" w:hAnsiTheme="minorHAnsi"/>
          <w:szCs w:val="21"/>
        </w:rPr>
        <w:t>入住剑桥大学格顿学院学生宿舍，享受各类学校资源，参与丰富的文化体验活动，并可获得剑桥大学格顿学院的官方成绩单与项目证书</w:t>
      </w:r>
      <w:r>
        <w:rPr>
          <w:rFonts w:hint="eastAsia" w:cs="Calibri" w:asciiTheme="minorHAnsi" w:hAnsiTheme="minorHAnsi"/>
          <w:color w:val="000000" w:themeColor="text1"/>
          <w:szCs w:val="21"/>
          <w14:textFill>
            <w14:solidFill>
              <w14:schemeClr w14:val="tx1"/>
            </w14:solidFill>
          </w14:textFill>
        </w:rPr>
        <w:t>；</w:t>
      </w:r>
    </w:p>
    <w:p>
      <w:pPr>
        <w:pStyle w:val="25"/>
        <w:widowControl/>
        <w:numPr>
          <w:ilvl w:val="0"/>
          <w:numId w:val="2"/>
        </w:numPr>
        <w:spacing w:line="360" w:lineRule="auto"/>
        <w:ind w:firstLineChars="0"/>
        <w:jc w:val="left"/>
        <w:rPr>
          <w:rFonts w:cs="Calibri" w:asciiTheme="minorHAnsi" w:hAnsiTheme="minorHAnsi"/>
          <w:szCs w:val="21"/>
        </w:rPr>
      </w:pPr>
      <w:r>
        <w:rPr>
          <w:rFonts w:hint="eastAsia" w:cs="Calibri" w:asciiTheme="minorHAnsi" w:hAnsiTheme="minorHAnsi"/>
          <w:color w:val="000000" w:themeColor="text1"/>
          <w:szCs w:val="21"/>
          <w14:textFill>
            <w14:solidFill>
              <w14:schemeClr w14:val="tx1"/>
            </w14:solidFill>
          </w14:textFill>
        </w:rPr>
        <w:t>【四六级即可申请】无需托福雅思成绩，用大学英语四/六级即可申请参加剑桥医学课程</w:t>
      </w:r>
      <w:bookmarkEnd w:id="0"/>
      <w:r>
        <w:rPr>
          <w:rFonts w:asciiTheme="minorHAnsi" w:hAnsiTheme="minorHAnsi" w:eastAsiaTheme="majorEastAsia" w:cstheme="minorHAnsi"/>
          <w:kern w:val="0"/>
          <w:szCs w:val="21"/>
        </w:rPr>
        <w:br w:type="textWrapping"/>
      </w:r>
    </w:p>
    <w:p>
      <w:pPr>
        <w:widowControl/>
        <w:spacing w:line="360" w:lineRule="auto"/>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 xml:space="preserve">三、 </w:t>
      </w:r>
      <w:r>
        <w:rPr>
          <w:rFonts w:hint="eastAsia" w:cs="Calibri" w:asciiTheme="minorHAnsi" w:hAnsiTheme="minorHAnsi"/>
          <w:b/>
          <w:szCs w:val="21"/>
        </w:rPr>
        <w:t>剑桥大学</w:t>
      </w:r>
      <w:r>
        <w:rPr>
          <w:rFonts w:asciiTheme="minorHAnsi" w:hAnsiTheme="minorHAnsi" w:eastAsiaTheme="majorEastAsia" w:cstheme="minorHAnsi"/>
          <w:b/>
          <w:bCs/>
          <w:kern w:val="0"/>
          <w:szCs w:val="21"/>
        </w:rPr>
        <w:t>简介</w:t>
      </w:r>
    </w:p>
    <w:p>
      <w:pPr>
        <w:pStyle w:val="25"/>
        <w:numPr>
          <w:ilvl w:val="0"/>
          <w:numId w:val="3"/>
        </w:numPr>
        <w:spacing w:line="360" w:lineRule="auto"/>
        <w:ind w:firstLineChars="0"/>
        <w:rPr>
          <w:rFonts w:asciiTheme="minorHAnsi" w:hAnsiTheme="minorHAnsi" w:eastAsiaTheme="majorEastAsia" w:cstheme="minorHAnsi"/>
          <w:szCs w:val="21"/>
        </w:rPr>
      </w:pPr>
      <w:r>
        <w:rPr>
          <w:rFonts w:hint="eastAsia" w:cs="Calibri" w:asciiTheme="minorHAnsi" w:hAnsiTheme="minorHAnsi"/>
          <w:szCs w:val="21"/>
        </w:rPr>
        <w:t>创建</w:t>
      </w:r>
      <w:r>
        <w:rPr>
          <w:rFonts w:cs="Calibri" w:asciiTheme="minorHAnsi" w:hAnsiTheme="minorHAnsi"/>
          <w:szCs w:val="21"/>
        </w:rPr>
        <w:t>于</w:t>
      </w:r>
      <w:r>
        <w:rPr>
          <w:rFonts w:hint="eastAsia" w:cs="Calibri" w:asciiTheme="minorHAnsi" w:hAnsiTheme="minorHAnsi"/>
          <w:szCs w:val="21"/>
        </w:rPr>
        <w:t>1209年的剑桥大学，是英国乃至世界上历史最悠久的大学之一，同时</w:t>
      </w:r>
      <w:r>
        <w:rPr>
          <w:rFonts w:cs="Calibri" w:asciiTheme="minorHAnsi" w:hAnsiTheme="minorHAnsi"/>
          <w:szCs w:val="21"/>
        </w:rPr>
        <w:t>也</w:t>
      </w:r>
      <w:r>
        <w:rPr>
          <w:rFonts w:hint="eastAsia" w:ascii="Arial" w:hAnsi="Arial" w:cs="Arial"/>
          <w:color w:val="333333"/>
          <w:szCs w:val="21"/>
        </w:rPr>
        <w:t>被公认为是</w:t>
      </w:r>
      <w:r>
        <w:rPr>
          <w:rFonts w:cs="Calibri" w:asciiTheme="minorHAnsi" w:hAnsiTheme="minorHAnsi"/>
          <w:szCs w:val="21"/>
        </w:rPr>
        <w:t>世界上最顶尖的高等教育机构之一，在艺术与人文</w:t>
      </w:r>
      <w:r>
        <w:rPr>
          <w:rFonts w:hint="eastAsia" w:cs="Calibri" w:asciiTheme="minorHAnsi" w:hAnsiTheme="minorHAnsi"/>
          <w:szCs w:val="21"/>
        </w:rPr>
        <w:t>、</w:t>
      </w:r>
      <w:r>
        <w:rPr>
          <w:rFonts w:ascii="Arial" w:hAnsi="Arial" w:cs="Arial"/>
          <w:color w:val="333333"/>
          <w:szCs w:val="21"/>
          <w:shd w:val="clear" w:color="auto" w:fill="FFFFFF"/>
        </w:rPr>
        <w:t>数学、物理、工程与技术</w:t>
      </w:r>
      <w:r>
        <w:rPr>
          <w:rFonts w:hint="eastAsia" w:ascii="Arial" w:hAnsi="Arial" w:cs="Arial"/>
          <w:color w:val="333333"/>
          <w:szCs w:val="21"/>
          <w:shd w:val="clear" w:color="auto" w:fill="FFFFFF"/>
        </w:rPr>
        <w:t>、</w:t>
      </w:r>
      <w:r>
        <w:rPr>
          <w:rFonts w:ascii="Arial" w:hAnsi="Arial" w:cs="Arial"/>
          <w:color w:val="333333"/>
          <w:szCs w:val="21"/>
          <w:shd w:val="clear" w:color="auto" w:fill="FFFFFF"/>
        </w:rPr>
        <w:t>医学、法学、商科等</w:t>
      </w:r>
      <w:r>
        <w:rPr>
          <w:rFonts w:hint="eastAsia" w:ascii="Arial" w:hAnsi="Arial" w:cs="Arial"/>
          <w:color w:val="333333"/>
          <w:szCs w:val="21"/>
          <w:shd w:val="clear" w:color="auto" w:fill="FFFFFF"/>
        </w:rPr>
        <w:t>诸多</w:t>
      </w:r>
      <w:r>
        <w:rPr>
          <w:rFonts w:ascii="Arial" w:hAnsi="Arial" w:cs="Arial"/>
          <w:color w:val="333333"/>
          <w:szCs w:val="21"/>
          <w:shd w:val="clear" w:color="auto" w:fill="FFFFFF"/>
        </w:rPr>
        <w:t>领域拥有崇高的学术地位及广泛的影响力</w:t>
      </w:r>
      <w:r>
        <w:rPr>
          <w:rFonts w:hint="eastAsia" w:cs="Calibri" w:asciiTheme="minorHAnsi" w:hAnsiTheme="minorHAnsi"/>
          <w:szCs w:val="21"/>
        </w:rPr>
        <w:t>；</w:t>
      </w:r>
      <w:r>
        <w:rPr>
          <w:rFonts w:asciiTheme="minorHAnsi" w:hAnsiTheme="minorHAnsi" w:eastAsiaTheme="majorEastAsia" w:cstheme="minorHAnsi"/>
          <w:szCs w:val="21"/>
        </w:rPr>
        <w:t xml:space="preserve"> </w:t>
      </w:r>
    </w:p>
    <w:p>
      <w:pPr>
        <w:pStyle w:val="25"/>
        <w:widowControl/>
        <w:numPr>
          <w:ilvl w:val="0"/>
          <w:numId w:val="4"/>
        </w:numPr>
        <w:spacing w:line="360" w:lineRule="auto"/>
        <w:ind w:firstLineChars="0"/>
        <w:jc w:val="left"/>
        <w:rPr>
          <w:rFonts w:asciiTheme="minorHAnsi" w:hAnsiTheme="minorHAnsi" w:cstheme="minorHAnsi"/>
          <w:kern w:val="0"/>
          <w:szCs w:val="21"/>
        </w:rPr>
      </w:pPr>
      <w:r>
        <w:rPr>
          <w:rFonts w:hint="eastAsia" w:cs="Calibri" w:asciiTheme="minorHAnsi" w:hAnsiTheme="minorHAnsi"/>
          <w:szCs w:val="21"/>
        </w:rPr>
        <w:t>20</w:t>
      </w:r>
      <w:r>
        <w:rPr>
          <w:rFonts w:cs="Calibri" w:asciiTheme="minorHAnsi" w:hAnsiTheme="minorHAnsi"/>
          <w:szCs w:val="21"/>
        </w:rPr>
        <w:t>23</w:t>
      </w:r>
      <w:r>
        <w:rPr>
          <w:rFonts w:hint="eastAsia" w:cs="Calibri" w:asciiTheme="minorHAnsi" w:hAnsiTheme="minorHAnsi"/>
          <w:szCs w:val="21"/>
        </w:rPr>
        <w:t>年Times世界大学综合排名位列第</w:t>
      </w:r>
      <w:r>
        <w:rPr>
          <w:rFonts w:cs="Calibri" w:asciiTheme="minorHAnsi" w:hAnsiTheme="minorHAnsi"/>
          <w:szCs w:val="21"/>
        </w:rPr>
        <w:t>3</w:t>
      </w:r>
      <w:r>
        <w:rPr>
          <w:rFonts w:hint="eastAsia" w:cs="Calibri" w:asciiTheme="minorHAnsi" w:hAnsiTheme="minorHAnsi"/>
          <w:color w:val="FF0000"/>
          <w:szCs w:val="21"/>
        </w:rPr>
        <w:t>，</w:t>
      </w:r>
      <w:r>
        <w:rPr>
          <w:rFonts w:hint="eastAsia" w:cs="Calibri" w:asciiTheme="minorHAnsi" w:hAnsiTheme="minorHAnsi"/>
          <w:color w:val="000000" w:themeColor="text1"/>
          <w:szCs w:val="21"/>
          <w14:textFill>
            <w14:solidFill>
              <w14:schemeClr w14:val="tx1"/>
            </w14:solidFill>
          </w14:textFill>
        </w:rPr>
        <w:t>临床与健康学科世界排名第4；</w:t>
      </w:r>
      <w:bookmarkStart w:id="1" w:name="_Hlk50987306"/>
      <w:r>
        <w:rPr>
          <w:rFonts w:hint="eastAsia" w:cs="Calibri" w:asciiTheme="minorHAnsi" w:hAnsiTheme="minorHAnsi"/>
          <w:color w:val="000000" w:themeColor="text1"/>
          <w:szCs w:val="21"/>
          <w14:textFill>
            <w14:solidFill>
              <w14:schemeClr w14:val="tx1"/>
            </w14:solidFill>
          </w14:textFill>
        </w:rPr>
        <w:t>20</w:t>
      </w:r>
      <w:r>
        <w:rPr>
          <w:rFonts w:cs="Calibri" w:asciiTheme="minorHAnsi" w:hAnsiTheme="minorHAnsi"/>
          <w:color w:val="000000" w:themeColor="text1"/>
          <w:szCs w:val="21"/>
          <w14:textFill>
            <w14:solidFill>
              <w14:schemeClr w14:val="tx1"/>
            </w14:solidFill>
          </w14:textFill>
        </w:rPr>
        <w:t>23</w:t>
      </w:r>
      <w:r>
        <w:rPr>
          <w:rFonts w:hint="eastAsia" w:cs="Calibri" w:asciiTheme="minorHAnsi" w:hAnsiTheme="minorHAnsi"/>
          <w:color w:val="000000" w:themeColor="text1"/>
          <w:szCs w:val="21"/>
          <w14:textFill>
            <w14:solidFill>
              <w14:schemeClr w14:val="tx1"/>
            </w14:solidFill>
          </w14:textFill>
        </w:rPr>
        <w:t>年</w:t>
      </w:r>
      <w:r>
        <w:rPr>
          <w:rFonts w:cs="Calibri" w:asciiTheme="minorHAnsi" w:hAnsiTheme="minorHAnsi"/>
          <w:color w:val="000000" w:themeColor="text1"/>
          <w:szCs w:val="21"/>
          <w14:textFill>
            <w14:solidFill>
              <w14:schemeClr w14:val="tx1"/>
            </w14:solidFill>
          </w14:textFill>
        </w:rPr>
        <w:t>QS</w:t>
      </w:r>
      <w:r>
        <w:rPr>
          <w:rFonts w:hint="eastAsia" w:cs="Calibri" w:asciiTheme="minorHAnsi" w:hAnsiTheme="minorHAnsi"/>
          <w:color w:val="000000" w:themeColor="text1"/>
          <w:szCs w:val="21"/>
          <w14:textFill>
            <w14:solidFill>
              <w14:schemeClr w14:val="tx1"/>
            </w14:solidFill>
          </w14:textFill>
        </w:rPr>
        <w:t>世界大学综合排名位居第</w:t>
      </w:r>
      <w:bookmarkEnd w:id="1"/>
      <w:r>
        <w:rPr>
          <w:rFonts w:cs="Calibri" w:asciiTheme="minorHAnsi" w:hAnsiTheme="minorHAnsi"/>
          <w:color w:val="000000" w:themeColor="text1"/>
          <w:szCs w:val="21"/>
          <w14:textFill>
            <w14:solidFill>
              <w14:schemeClr w14:val="tx1"/>
            </w14:solidFill>
          </w14:textFill>
        </w:rPr>
        <w:t>3</w:t>
      </w:r>
      <w:r>
        <w:rPr>
          <w:rFonts w:hint="eastAsia" w:cs="Calibri" w:asciiTheme="minorHAnsi" w:hAnsiTheme="minorHAnsi"/>
          <w:color w:val="000000" w:themeColor="text1"/>
          <w:szCs w:val="21"/>
          <w14:textFill>
            <w14:solidFill>
              <w14:schemeClr w14:val="tx1"/>
            </w14:solidFill>
          </w14:textFill>
        </w:rPr>
        <w:t>，医学专业世界排名第</w:t>
      </w:r>
      <w:r>
        <w:rPr>
          <w:rFonts w:cs="Calibri" w:asciiTheme="minorHAnsi" w:hAnsiTheme="minorHAnsi"/>
          <w:color w:val="000000" w:themeColor="text1"/>
          <w:szCs w:val="21"/>
          <w14:textFill>
            <w14:solidFill>
              <w14:schemeClr w14:val="tx1"/>
            </w14:solidFill>
          </w14:textFill>
        </w:rPr>
        <w:t>2</w:t>
      </w:r>
      <w:r>
        <w:rPr>
          <w:rFonts w:hint="eastAsia" w:cs="Calibri" w:asciiTheme="minorHAnsi" w:hAnsiTheme="minorHAnsi"/>
          <w:color w:val="000000" w:themeColor="text1"/>
          <w:szCs w:val="21"/>
          <w14:textFill>
            <w14:solidFill>
              <w14:schemeClr w14:val="tx1"/>
            </w14:solidFill>
          </w14:textFill>
        </w:rPr>
        <w:t>；</w:t>
      </w:r>
    </w:p>
    <w:p>
      <w:pPr>
        <w:pStyle w:val="25"/>
        <w:widowControl/>
        <w:numPr>
          <w:ilvl w:val="0"/>
          <w:numId w:val="4"/>
        </w:numPr>
        <w:spacing w:line="360" w:lineRule="auto"/>
        <w:ind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格顿学院成立于1869年，距今已有150多年的历史，是剑桥重要的学院之一，在剑桥所有学院中学生总量排名前十，以活跃、轻松和友善的学习氛围著称。格顿学院提供丰富的本科与研究生课程，领域包括工程、计算机科学、建筑、经济学、历史、地理、人文社科、数学、法律、医学、音乐、国际关系、社会学、语言学等。</w:t>
      </w:r>
    </w:p>
    <w:p>
      <w:pPr>
        <w:spacing w:line="360" w:lineRule="auto"/>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w:t>
      </w:r>
      <w:r>
        <w:rPr>
          <w:rFonts w:asciiTheme="minorHAnsi" w:hAnsiTheme="minorHAnsi" w:eastAsiaTheme="majorEastAsia" w:cstheme="minorHAnsi"/>
          <w:b/>
          <w:szCs w:val="21"/>
        </w:rPr>
        <w:t>访学</w:t>
      </w:r>
      <w:r>
        <w:rPr>
          <w:rFonts w:hint="eastAsia" w:asciiTheme="minorHAnsi" w:hAnsiTheme="minorHAnsi" w:eastAsiaTheme="majorEastAsia" w:cstheme="minorHAnsi"/>
          <w:b/>
          <w:szCs w:val="21"/>
        </w:rPr>
        <w:t>项目介绍</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2" w:firstLineChars="200"/>
        <w:jc w:val="left"/>
        <w:rPr>
          <w:rFonts w:asciiTheme="minorHAnsi" w:hAnsiTheme="minorHAnsi" w:eastAsiaTheme="majorEastAsia" w:cstheme="minorHAnsi"/>
          <w:b/>
          <w:bCs/>
          <w:szCs w:val="21"/>
        </w:rPr>
      </w:pPr>
      <w:bookmarkStart w:id="2" w:name="_Hlk50987326"/>
      <w:r>
        <w:rPr>
          <w:rFonts w:hint="eastAsia" w:asciiTheme="minorHAnsi" w:hAnsiTheme="minorHAnsi" w:eastAsiaTheme="majorEastAsia" w:cstheme="minorHAnsi"/>
          <w:b/>
          <w:bCs/>
          <w:szCs w:val="21"/>
        </w:rPr>
        <w:t>202</w:t>
      </w:r>
      <w:r>
        <w:rPr>
          <w:rFonts w:asciiTheme="minorHAnsi" w:hAnsiTheme="minorHAnsi" w:eastAsiaTheme="majorEastAsia" w:cstheme="minorHAnsi"/>
          <w:b/>
          <w:bCs/>
          <w:szCs w:val="21"/>
        </w:rPr>
        <w:t>3</w:t>
      </w:r>
      <w:r>
        <w:rPr>
          <w:rFonts w:hint="eastAsia" w:asciiTheme="minorHAnsi" w:hAnsiTheme="minorHAnsi" w:eastAsiaTheme="majorEastAsia" w:cstheme="minorHAnsi"/>
          <w:b/>
          <w:bCs/>
          <w:szCs w:val="21"/>
        </w:rPr>
        <w:t>年</w:t>
      </w:r>
      <w:r>
        <w:rPr>
          <w:rFonts w:asciiTheme="minorHAnsi" w:hAnsiTheme="minorHAnsi" w:eastAsiaTheme="majorEastAsia" w:cstheme="minorHAnsi"/>
          <w:b/>
          <w:bCs/>
          <w:szCs w:val="21"/>
        </w:rPr>
        <w:t>7</w:t>
      </w:r>
      <w:r>
        <w:rPr>
          <w:rFonts w:hint="eastAsia" w:asciiTheme="minorHAnsi" w:hAnsiTheme="minorHAnsi" w:eastAsiaTheme="majorEastAsia" w:cstheme="minorHAnsi"/>
          <w:b/>
          <w:bCs/>
          <w:szCs w:val="21"/>
        </w:rPr>
        <w:t xml:space="preserve">月24日 </w:t>
      </w:r>
      <w:r>
        <w:rPr>
          <w:rFonts w:asciiTheme="minorHAnsi" w:hAnsiTheme="minorHAnsi" w:eastAsiaTheme="majorEastAsia" w:cstheme="minorHAnsi"/>
          <w:b/>
          <w:bCs/>
          <w:szCs w:val="21"/>
        </w:rPr>
        <w:t>–</w:t>
      </w:r>
      <w:r>
        <w:rPr>
          <w:rFonts w:hint="eastAsia" w:asciiTheme="minorHAnsi" w:hAnsiTheme="minorHAnsi" w:eastAsiaTheme="majorEastAsia" w:cstheme="minorHAnsi"/>
          <w:b/>
          <w:bCs/>
          <w:szCs w:val="21"/>
        </w:rPr>
        <w:t xml:space="preserve"> </w:t>
      </w:r>
      <w:r>
        <w:rPr>
          <w:rFonts w:asciiTheme="minorHAnsi" w:hAnsiTheme="minorHAnsi" w:eastAsiaTheme="majorEastAsia" w:cstheme="minorHAnsi"/>
          <w:b/>
          <w:bCs/>
          <w:szCs w:val="21"/>
        </w:rPr>
        <w:t>8</w:t>
      </w:r>
      <w:r>
        <w:rPr>
          <w:rFonts w:hint="eastAsia" w:asciiTheme="minorHAnsi" w:hAnsiTheme="minorHAnsi" w:eastAsiaTheme="majorEastAsia" w:cstheme="minorHAnsi"/>
          <w:b/>
          <w:bCs/>
          <w:szCs w:val="21"/>
        </w:rPr>
        <w:t>月</w:t>
      </w:r>
      <w:r>
        <w:rPr>
          <w:rFonts w:asciiTheme="minorHAnsi" w:hAnsiTheme="minorHAnsi" w:eastAsiaTheme="majorEastAsia" w:cstheme="minorHAnsi"/>
          <w:b/>
          <w:bCs/>
          <w:szCs w:val="21"/>
        </w:rPr>
        <w:t>4</w:t>
      </w:r>
      <w:r>
        <w:rPr>
          <w:rFonts w:hint="eastAsia" w:asciiTheme="minorHAnsi" w:hAnsiTheme="minorHAnsi" w:eastAsiaTheme="majorEastAsia" w:cstheme="minorHAnsi"/>
          <w:b/>
          <w:bCs/>
          <w:szCs w:val="21"/>
        </w:rPr>
        <w:t>日</w:t>
      </w:r>
      <w:bookmarkEnd w:id="2"/>
      <w:r>
        <w:rPr>
          <w:rFonts w:hint="eastAsia" w:asciiTheme="minorHAnsi" w:hAnsiTheme="minorHAnsi" w:eastAsiaTheme="majorEastAsia" w:cstheme="minorHAnsi"/>
          <w:b/>
          <w:bCs/>
          <w:szCs w:val="21"/>
        </w:rPr>
        <w:t>（2周）</w:t>
      </w: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授课模式</w:t>
      </w:r>
      <w:r>
        <w:rPr>
          <w:rFonts w:cs="Calibri" w:asciiTheme="minorHAnsi" w:hAnsiTheme="minorHAnsi"/>
          <w:szCs w:val="21"/>
        </w:rPr>
        <w:t>】</w:t>
      </w:r>
    </w:p>
    <w:p>
      <w:pPr>
        <w:pStyle w:val="25"/>
        <w:numPr>
          <w:ilvl w:val="0"/>
          <w:numId w:val="5"/>
        </w:numPr>
        <w:spacing w:line="360" w:lineRule="auto"/>
        <w:ind w:firstLineChars="0"/>
        <w:rPr>
          <w:rFonts w:cs="Calibri" w:asciiTheme="minorHAnsi" w:hAnsiTheme="minorHAnsi"/>
          <w:szCs w:val="21"/>
        </w:rPr>
      </w:pPr>
      <w:r>
        <w:rPr>
          <w:rFonts w:hint="eastAsia" w:cs="Calibri" w:asciiTheme="minorHAnsi" w:hAnsiTheme="minorHAnsi"/>
          <w:szCs w:val="21"/>
        </w:rPr>
        <w:t>项目为期两周，包含总共2</w:t>
      </w:r>
      <w:r>
        <w:rPr>
          <w:rFonts w:cs="Calibri" w:asciiTheme="minorHAnsi" w:hAnsiTheme="minorHAnsi"/>
          <w:szCs w:val="21"/>
        </w:rPr>
        <w:t>4</w:t>
      </w:r>
      <w:r>
        <w:rPr>
          <w:rFonts w:hint="eastAsia" w:cs="Calibri" w:asciiTheme="minorHAnsi" w:hAnsiTheme="minorHAnsi"/>
          <w:szCs w:val="21"/>
        </w:rPr>
        <w:t>小时授课（相当于3</w:t>
      </w:r>
      <w:r>
        <w:rPr>
          <w:rFonts w:cs="Calibri" w:asciiTheme="minorHAnsi" w:hAnsiTheme="minorHAnsi"/>
          <w:szCs w:val="21"/>
        </w:rPr>
        <w:t>2</w:t>
      </w:r>
      <w:r>
        <w:rPr>
          <w:rFonts w:hint="eastAsia" w:cs="Calibri" w:asciiTheme="minorHAnsi" w:hAnsiTheme="minorHAnsi"/>
          <w:szCs w:val="21"/>
        </w:rPr>
        <w:t>学时）；</w:t>
      </w:r>
    </w:p>
    <w:p>
      <w:pPr>
        <w:pStyle w:val="25"/>
        <w:numPr>
          <w:ilvl w:val="0"/>
          <w:numId w:val="5"/>
        </w:numPr>
        <w:spacing w:line="360" w:lineRule="auto"/>
        <w:ind w:firstLineChars="0"/>
        <w:rPr>
          <w:rFonts w:cs="Calibri" w:asciiTheme="minorHAnsi" w:hAnsiTheme="minorHAnsi"/>
          <w:szCs w:val="21"/>
        </w:rPr>
      </w:pPr>
      <w:r>
        <w:rPr>
          <w:rFonts w:hint="eastAsia" w:asciiTheme="minorHAnsi" w:hAnsiTheme="minorHAnsi" w:eastAsiaTheme="majorEastAsia" w:cstheme="minorHAnsi"/>
          <w:kern w:val="21"/>
          <w:szCs w:val="21"/>
        </w:rPr>
        <w:t>授课形式将包括系列专题讲座与研讨会。在研讨会期间，学生可根据自身兴趣选取讲座所涉及的主题，或其它相关的医学主题，在老师指导下进行深入研究与剖析，并在项目结束前进行大约2</w:t>
      </w:r>
      <w:r>
        <w:rPr>
          <w:rFonts w:asciiTheme="minorHAnsi" w:hAnsiTheme="minorHAnsi" w:eastAsiaTheme="majorEastAsia" w:cstheme="minorHAnsi"/>
          <w:kern w:val="21"/>
          <w:szCs w:val="21"/>
        </w:rPr>
        <w:t>0</w:t>
      </w:r>
      <w:r>
        <w:rPr>
          <w:rFonts w:hint="eastAsia" w:asciiTheme="minorHAnsi" w:hAnsiTheme="minorHAnsi" w:eastAsiaTheme="majorEastAsia" w:cstheme="minorHAnsi"/>
          <w:kern w:val="21"/>
          <w:szCs w:val="21"/>
        </w:rPr>
        <w:t>分钟的学术演讲展示；</w:t>
      </w:r>
    </w:p>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color w:val="000000" w:themeColor="text1"/>
          <w:szCs w:val="21"/>
          <w14:textFill>
            <w14:solidFill>
              <w14:schemeClr w14:val="tx1"/>
            </w14:solidFill>
          </w14:textFill>
        </w:rPr>
        <w:t>【</w:t>
      </w:r>
      <w:r>
        <w:rPr>
          <w:rFonts w:hint="eastAsia" w:cs="Calibri" w:asciiTheme="minorHAnsi" w:hAnsiTheme="minorHAnsi"/>
          <w:b/>
          <w:color w:val="000000" w:themeColor="text1"/>
          <w:szCs w:val="21"/>
          <w14:textFill>
            <w14:solidFill>
              <w14:schemeClr w14:val="tx1"/>
            </w14:solidFill>
          </w14:textFill>
        </w:rPr>
        <w:t>课程内容</w:t>
      </w:r>
      <w:r>
        <w:rPr>
          <w:rFonts w:cs="Calibri" w:asciiTheme="minorHAnsi" w:hAnsiTheme="minorHAnsi"/>
          <w:color w:val="000000" w:themeColor="text1"/>
          <w:szCs w:val="21"/>
          <w14:textFill>
            <w14:solidFill>
              <w14:schemeClr w14:val="tx1"/>
            </w14:solidFill>
          </w14:textFill>
        </w:rPr>
        <w:t>】</w:t>
      </w:r>
      <w:r>
        <w:rPr>
          <w:rFonts w:cs="Calibri" w:asciiTheme="minorHAnsi" w:hAnsiTheme="minorHAnsi"/>
          <w:szCs w:val="21"/>
        </w:rPr>
        <w:t>(</w:t>
      </w:r>
      <w:r>
        <w:rPr>
          <w:rFonts w:hint="eastAsia" w:cs="Calibri" w:asciiTheme="minorHAnsi" w:hAnsiTheme="minorHAnsi"/>
          <w:szCs w:val="21"/>
        </w:rPr>
        <w:t>仅供参考，以实际安排为准</w:t>
      </w:r>
      <w:r>
        <w:rPr>
          <w:rFonts w:cs="Calibri" w:asciiTheme="minorHAnsi" w:hAnsiTheme="minorHAnsi"/>
          <w:szCs w:val="21"/>
        </w:rPr>
        <w:t>)</w:t>
      </w:r>
      <w:r>
        <w:rPr>
          <w:rFonts w:cs="Calibri" w:asciiTheme="minorHAnsi" w:hAnsiTheme="minorHAnsi"/>
          <w:szCs w:val="21"/>
        </w:rPr>
        <w:br w:type="textWrapping"/>
      </w:r>
    </w:p>
    <w:tbl>
      <w:tblPr>
        <w:tblStyle w:val="12"/>
        <w:tblW w:w="822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jc w:val="center"/>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主题</w:t>
            </w:r>
          </w:p>
        </w:tc>
        <w:tc>
          <w:tcPr>
            <w:tcW w:w="5387" w:type="dxa"/>
          </w:tcPr>
          <w:p>
            <w:pPr>
              <w:spacing w:line="360" w:lineRule="auto"/>
              <w:jc w:val="center"/>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项目启动</w:t>
            </w:r>
          </w:p>
        </w:tc>
        <w:tc>
          <w:tcPr>
            <w:tcW w:w="5387"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kern w:val="0"/>
                <w:szCs w:val="21"/>
              </w:rPr>
              <w:t>课程内容简介、学习目标梳理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讲座：传染性疾病的负担</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梳理全球细菌、病毒、真菌和寄生虫病的形式，研究历史上的疫情以及它们如何帮助我们了解不同病原体的传播途径。讲座将以预防和控制为重点，并使用来自不同地区的最新案例。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讲座：非传染性疾病的负担</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探索非传染性疾病对全球发病率和死亡率的影响，分析这些疾病对不同文化、经济和医疗体系的国家所构成的挑战有哪些异同之处，同时思考在有效治疗和预防这些常见疾病方面有哪些过去的经验教训与未来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研讨：细菌</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讨论具有历史意义的疫情，例如与伦敦B</w:t>
            </w:r>
            <w:r>
              <w:rPr>
                <w:rFonts w:asciiTheme="minorHAnsi" w:hAnsiTheme="minorHAnsi" w:eastAsiaTheme="majorEastAsia" w:cstheme="minorHAnsi"/>
                <w:szCs w:val="21"/>
              </w:rPr>
              <w:t>road Street</w:t>
            </w:r>
            <w:r>
              <w:rPr>
                <w:rFonts w:hint="eastAsia" w:asciiTheme="minorHAnsi" w:hAnsiTheme="minorHAnsi" w:eastAsiaTheme="majorEastAsia" w:cstheme="minorHAnsi"/>
                <w:szCs w:val="21"/>
              </w:rPr>
              <w:t>水泵有关的伦敦霍乱暴发事件，以及为何约翰·斯诺常被称为流行病学之父，并且通过各种新旧案例分析来探讨点状源、持续源和传播暴发之间的差别。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研讨：真菌</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讨论酵母、霉菌和二型真菌之间的差异，并逐一进行学习，讨论分析各类真菌感染暴发的情况，将讲座中所描述的一些流行病学理论与实践相关联起来。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研讨：病毒</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探讨西班牙流感和其他各种病毒暴发，包括近两年的新型冠状病毒，分析各类急性流行病、慢性病和慢性病毒感染携带者的例子，重点是理解科学、流行病学和流行病学传播途径，以影响预防和控制。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嘉宾讲座</w:t>
            </w:r>
          </w:p>
        </w:tc>
        <w:tc>
          <w:tcPr>
            <w:tcW w:w="5387" w:type="dxa"/>
          </w:tcPr>
          <w:p>
            <w:pPr>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剑桥大学的研究生学习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研讨：癌症</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探讨癌症这一非传染性、但具有巨大全球影响的疾病，仔细考虑常见的病因、风险、癌症诊断中的因素和不同形式，并且探索未来可用于预防和治疗癌症的方式。此外，还会考虑癌症的特征以及为何我们把它看作是一种“遗传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研讨：糖尿病</w:t>
            </w:r>
          </w:p>
        </w:tc>
        <w:tc>
          <w:tcPr>
            <w:tcW w:w="5387" w:type="dxa"/>
          </w:tcPr>
          <w:p>
            <w:pPr>
              <w:spacing w:line="360" w:lineRule="auto"/>
              <w:ind w:firstLine="420" w:firstLineChars="200"/>
              <w:rPr>
                <w:rFonts w:asciiTheme="minorHAnsi" w:hAnsiTheme="minorHAnsi" w:eastAsiaTheme="majorEastAsia" w:cstheme="minorHAnsi"/>
                <w:b/>
                <w:bCs/>
                <w:kern w:val="0"/>
                <w:szCs w:val="21"/>
              </w:rPr>
            </w:pPr>
            <w:r>
              <w:rPr>
                <w:rFonts w:hint="eastAsia" w:asciiTheme="minorHAnsi" w:hAnsiTheme="minorHAnsi" w:eastAsiaTheme="majorEastAsia" w:cstheme="minorHAnsi"/>
                <w:szCs w:val="21"/>
              </w:rPr>
              <w:t>探讨另一种主要的非传染性疾病“糖尿病”，分析1型和2型糖尿病的病因和全球患病率，思考新型治疗方法的生物化学基础，回顾当前的全球发病率和患病率，并探索未来糖尿病治疗，甚至治愈的可能性。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研讨：疾病预防</w:t>
            </w:r>
          </w:p>
        </w:tc>
        <w:tc>
          <w:tcPr>
            <w:tcW w:w="5387" w:type="dxa"/>
          </w:tcPr>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巩固迄今对非传染性疾病的一些了解，并特别考虑预防的作用；探讨优先预防的好处以及面临的挑战。从全球的角度考虑预防的作用，尤其是针对非传染性疾病。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讲座：批判性分析</w:t>
            </w:r>
          </w:p>
        </w:tc>
        <w:tc>
          <w:tcPr>
            <w:tcW w:w="5387" w:type="dxa"/>
          </w:tcPr>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介绍描述和分析流行病学的工具，详细分析不同类型研究和试验的优缺点。学生可以通过案例学习，使用学到的新技能进行文献检索，准备结课演讲。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讲座：医学论文阅读</w:t>
            </w:r>
          </w:p>
        </w:tc>
        <w:tc>
          <w:tcPr>
            <w:tcW w:w="5387" w:type="dxa"/>
          </w:tcPr>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学生将提前阅读一份科学研究论文，并按要求研究其研究方法、研究成果、讨论过程和最终结论，以便形成关于论文质量的意见。同时，讲座还会涉及循证医学的概念及PICO模式。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讲座：传染病的疫情调查</w:t>
            </w:r>
          </w:p>
        </w:tc>
        <w:tc>
          <w:tcPr>
            <w:tcW w:w="5387" w:type="dxa"/>
          </w:tcPr>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 xml:space="preserve">本场讲座会将之前的系列讲座与研讨会所讨论的主题串联在一起，确保所有学生对一次传染病暴发调查背后的科学依据形成深刻的理解 </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无论是病毒性的、真菌性的还是细菌性的，也无论是怎样的不同规模，影响了怎样的不同地理区域。讲座将举出实际案例，并提供问答机会。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讲座：从试验台到临床：临床试验的故事</w:t>
            </w:r>
          </w:p>
        </w:tc>
        <w:tc>
          <w:tcPr>
            <w:tcW w:w="5387" w:type="dxa"/>
          </w:tcPr>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讨论临床试验的理论，同时分享该领域的历史上和当代的优秀实践案例实例，通过案例来思考临床试验的伦理问题，以及有效的试验设计对于生产新药和其他干预措施的重要性。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讲座：从试验台到临床：新型免疫疗法</w:t>
            </w:r>
          </w:p>
        </w:tc>
        <w:tc>
          <w:tcPr>
            <w:tcW w:w="5387" w:type="dxa"/>
          </w:tcPr>
          <w:p>
            <w:pPr>
              <w:pStyle w:val="25"/>
              <w:widowControl/>
              <w:spacing w:line="360" w:lineRule="auto"/>
              <w:ind w:left="360" w:firstLine="0"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重点关注用于癌症和自身免疫性疾病的新型免疫疗</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法，在更广泛的靶向治疗领域的最新进展，以及基因组学在未来的多种疾病治疗方面的作用。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讲座：身心健康-</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文化背景与精神障碍</w:t>
            </w:r>
          </w:p>
        </w:tc>
        <w:tc>
          <w:tcPr>
            <w:tcW w:w="5387" w:type="dxa"/>
          </w:tcPr>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在全球大背景下关注心理健康与精神卫生保健的概念，并审视相关诊断如何与文化理念相互作用。我们将从医学、心理学、社会学和患者等不同视角去理解精神障碍，并探讨专业人士进行国际对话的共同基础。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讲座：身心健康-</w:t>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两者是否可以兼得？</w:t>
            </w:r>
          </w:p>
        </w:tc>
        <w:tc>
          <w:tcPr>
            <w:tcW w:w="5387" w:type="dxa"/>
          </w:tcPr>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讲座将审视身体健康和心理健康之间复杂且具有挑战性的界面、神经和心理生物学的新发展如何帮助我们理解精神疾病的病因、回顾上节讲座的一些主题并探讨生物学与其的关联性。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w:t>
            </w:r>
          </w:p>
        </w:tc>
        <w:tc>
          <w:tcPr>
            <w:tcW w:w="5387"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关于寄生生物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w:t>
            </w:r>
          </w:p>
        </w:tc>
        <w:tc>
          <w:tcPr>
            <w:tcW w:w="5387"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关于疟疾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w:t>
            </w:r>
          </w:p>
        </w:tc>
        <w:tc>
          <w:tcPr>
            <w:tcW w:w="5387"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关于心血管疾病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讲座</w:t>
            </w:r>
          </w:p>
        </w:tc>
        <w:tc>
          <w:tcPr>
            <w:tcW w:w="5387"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关于呼吸性疾病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学生研究成果演示</w:t>
            </w:r>
          </w:p>
        </w:tc>
        <w:tc>
          <w:tcPr>
            <w:tcW w:w="5387" w:type="dxa"/>
          </w:tcPr>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学生研究成果演示</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项目结束</w:t>
            </w:r>
          </w:p>
        </w:tc>
      </w:tr>
    </w:tbl>
    <w:p>
      <w:pPr>
        <w:spacing w:line="360" w:lineRule="auto"/>
        <w:rPr>
          <w:rFonts w:asciiTheme="minorHAnsi" w:hAnsiTheme="minorHAnsi" w:eastAsiaTheme="majorEastAsia" w:cstheme="minorHAnsi"/>
          <w:szCs w:val="21"/>
        </w:rPr>
      </w:pPr>
    </w:p>
    <w:p>
      <w:pPr>
        <w:spacing w:line="360" w:lineRule="auto"/>
        <w:ind w:firstLine="420"/>
        <w:rPr>
          <w:rFonts w:cs="Calibri" w:asciiTheme="minorHAnsi" w:hAnsiTheme="minorHAnsi"/>
          <w:szCs w:val="21"/>
        </w:rPr>
      </w:pPr>
      <w:bookmarkStart w:id="3" w:name="_Hlk127273142"/>
      <w:r>
        <w:rPr>
          <w:rFonts w:hint="eastAsia" w:cs="Calibri" w:asciiTheme="minorHAnsi" w:hAnsiTheme="minorHAnsi"/>
          <w:szCs w:val="21"/>
        </w:rPr>
        <w:t>除核心课程之外，项目学生还可充分体验剑桥大学的校园生活，包括参加传统的英式下午茶，在格顿学院历史悠久的宴会厅享用正餐，或参加各类丰富多彩的文体活动。项目还会安排去伦敦的游览，为学生创造机会体验更多英伦名城的风采。</w:t>
      </w:r>
    </w:p>
    <w:p>
      <w:pPr>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参加暑期项目的学生均可获得剑桥</w:t>
      </w:r>
      <w:r>
        <w:rPr>
          <w:rFonts w:hint="eastAsia" w:asciiTheme="minorHAnsi" w:hAnsiTheme="minorHAnsi" w:eastAsiaTheme="majorEastAsia" w:cstheme="minorHAnsi"/>
          <w:szCs w:val="21"/>
        </w:rPr>
        <w:t>大学格顿学院</w:t>
      </w:r>
      <w:r>
        <w:rPr>
          <w:rFonts w:hint="eastAsia" w:cs="Calibri" w:asciiTheme="minorHAnsi" w:hAnsiTheme="minorHAnsi"/>
          <w:szCs w:val="21"/>
        </w:rPr>
        <w:t>提供的访学项目证件，按院方规定使用相关校园设施。</w:t>
      </w:r>
    </w:p>
    <w:bookmarkEnd w:id="3"/>
    <w:p>
      <w:pPr>
        <w:spacing w:line="360" w:lineRule="auto"/>
        <w:rPr>
          <w:rFonts w:hint="eastAsia" w:asciiTheme="minorHAnsi" w:hAnsiTheme="minorHAnsi" w:eastAsiaTheme="majorEastAsia" w:cstheme="minorHAnsi"/>
          <w:szCs w:val="21"/>
        </w:rPr>
      </w:pPr>
    </w:p>
    <w:p>
      <w:pPr>
        <w:spacing w:line="360" w:lineRule="auto"/>
        <w:rPr>
          <w:rFonts w:cs="Calibri" w:asciiTheme="minorHAnsi" w:hAnsiTheme="minorHAnsi"/>
          <w:color w:val="000000" w:themeColor="text1"/>
          <w:szCs w:val="21"/>
          <w14:textFill>
            <w14:solidFill>
              <w14:schemeClr w14:val="tx1"/>
            </w14:solidFill>
          </w14:textFill>
        </w:rPr>
      </w:pPr>
      <w:r>
        <w:rPr>
          <w:rFonts w:cs="Calibri" w:asciiTheme="minorHAnsi" w:hAnsiTheme="minorHAnsi"/>
          <w:color w:val="000000" w:themeColor="text1"/>
          <w:szCs w:val="21"/>
          <w14:textFill>
            <w14:solidFill>
              <w14:schemeClr w14:val="tx1"/>
            </w14:solidFill>
          </w14:textFill>
        </w:rPr>
        <w:t>【</w:t>
      </w:r>
      <w:r>
        <w:rPr>
          <w:rFonts w:hint="eastAsia" w:cs="Calibri" w:asciiTheme="minorHAnsi" w:hAnsiTheme="minorHAnsi"/>
          <w:b/>
          <w:color w:val="000000" w:themeColor="text1"/>
          <w:szCs w:val="21"/>
          <w14:textFill>
            <w14:solidFill>
              <w14:schemeClr w14:val="tx1"/>
            </w14:solidFill>
          </w14:textFill>
        </w:rPr>
        <w:t>师资介绍</w:t>
      </w:r>
      <w:r>
        <w:rPr>
          <w:rFonts w:cs="Calibri" w:asciiTheme="minorHAnsi" w:hAnsiTheme="minorHAnsi"/>
          <w:color w:val="000000" w:themeColor="text1"/>
          <w:szCs w:val="21"/>
          <w14:textFill>
            <w14:solidFill>
              <w14:schemeClr w14:val="tx1"/>
            </w14:solidFill>
          </w14:textFill>
        </w:rPr>
        <w:t>】</w:t>
      </w:r>
    </w:p>
    <w:p>
      <w:pPr>
        <w:spacing w:line="360" w:lineRule="auto"/>
        <w:rPr>
          <w:rFonts w:cs="Calibri" w:asciiTheme="minorHAnsi" w:hAnsiTheme="minorHAnsi"/>
          <w:b/>
          <w:bCs/>
          <w:szCs w:val="21"/>
        </w:rPr>
      </w:pPr>
      <w:r>
        <w:rPr>
          <w:rFonts w:hint="eastAsia"/>
          <w:b/>
          <w:bCs/>
        </w:rPr>
        <w:t>菲奥娜·库克（</w:t>
      </w:r>
      <w:r>
        <w:rPr>
          <w:rFonts w:hint="eastAsia" w:cs="Calibri" w:asciiTheme="minorHAnsi" w:hAnsiTheme="minorHAnsi"/>
          <w:b/>
          <w:bCs/>
          <w:szCs w:val="21"/>
        </w:rPr>
        <w:t>D</w:t>
      </w:r>
      <w:r>
        <w:rPr>
          <w:rFonts w:cs="Calibri" w:asciiTheme="minorHAnsi" w:hAnsiTheme="minorHAnsi"/>
          <w:b/>
          <w:bCs/>
          <w:szCs w:val="21"/>
        </w:rPr>
        <w:t>r. Fiona Cooke</w:t>
      </w:r>
      <w:r>
        <w:rPr>
          <w:rFonts w:hint="eastAsia" w:cs="Calibri" w:asciiTheme="minorHAnsi" w:hAnsiTheme="minorHAnsi"/>
          <w:szCs w:val="21"/>
        </w:rPr>
        <w:t>）</w:t>
      </w:r>
      <w:r>
        <w:rPr>
          <w:rFonts w:hint="eastAsia" w:cs="Calibri" w:asciiTheme="minorHAnsi" w:hAnsiTheme="minorHAnsi"/>
          <w:b/>
          <w:bCs/>
          <w:szCs w:val="21"/>
        </w:rPr>
        <w:t>博士，剑桥大学临床医学院副院长、剑桥大学格顿学院医学讲师兼院士</w:t>
      </w:r>
    </w:p>
    <w:p>
      <w:pPr>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个人背景：</w:t>
      </w:r>
      <w:r>
        <w:rPr>
          <w:rFonts w:cs="Calibri" w:asciiTheme="minorHAnsi" w:hAnsiTheme="minorHAnsi"/>
          <w:szCs w:val="21"/>
        </w:rPr>
        <w:t xml:space="preserve"> </w:t>
      </w:r>
      <w:r>
        <w:rPr>
          <w:rFonts w:hint="eastAsia" w:cs="Calibri" w:asciiTheme="minorHAnsi" w:hAnsiTheme="minorHAnsi"/>
          <w:szCs w:val="21"/>
        </w:rPr>
        <w:t>库克博士在剑桥大学主要为医学与临床医学专业学生、以及兽医专业学生讲授关于感染不同方面的课程，同时指导医学科学基础课程。除教职工作之外，她本身也是一名执业医生，尤其擅长</w:t>
      </w:r>
      <w:r>
        <w:rPr>
          <w:rFonts w:cs="Calibri" w:asciiTheme="minorHAnsi" w:hAnsiTheme="minorHAnsi"/>
          <w:szCs w:val="21"/>
        </w:rPr>
        <w:t>细菌感染的诊断和管理</w:t>
      </w:r>
      <w:r>
        <w:rPr>
          <w:rFonts w:hint="eastAsia" w:cs="Calibri" w:asciiTheme="minorHAnsi" w:hAnsiTheme="minorHAnsi"/>
          <w:szCs w:val="21"/>
        </w:rPr>
        <w:t>，主要研究方向包括沙门氏菌感染、艰难梭菌、MRSA、抗菌管理和一般细菌学。同时，她还担任剑桥A</w:t>
      </w:r>
      <w:r>
        <w:rPr>
          <w:rFonts w:cs="Calibri" w:asciiTheme="minorHAnsi" w:hAnsiTheme="minorHAnsi"/>
          <w:szCs w:val="21"/>
        </w:rPr>
        <w:t>ddenbrookes</w:t>
      </w:r>
      <w:r>
        <w:rPr>
          <w:rFonts w:hint="eastAsia" w:cs="Calibri" w:asciiTheme="minorHAnsi" w:hAnsiTheme="minorHAnsi"/>
          <w:szCs w:val="21"/>
        </w:rPr>
        <w:t>医院的医学微生物学顾问。</w:t>
      </w:r>
    </w:p>
    <w:p>
      <w:pPr>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库克博士拥有医学微生物学硕士学位以及沙门氏菌属基因组研究方向的博士学位，先后在剑桥、牛津以及伦敦接受过专业医学训练。她还同时担任英国</w:t>
      </w:r>
      <w:r>
        <w:rPr>
          <w:rFonts w:cs="Calibri" w:asciiTheme="minorHAnsi" w:hAnsiTheme="minorHAnsi"/>
          <w:szCs w:val="21"/>
        </w:rPr>
        <w:t>皇家内科医师协会</w:t>
      </w:r>
      <w:r>
        <w:rPr>
          <w:rFonts w:hint="eastAsia" w:cs="Calibri" w:asciiTheme="minorHAnsi" w:hAnsiTheme="minorHAnsi"/>
          <w:szCs w:val="21"/>
        </w:rPr>
        <w:t>以及皇家病理学家协会的院士。</w:t>
      </w:r>
    </w:p>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hint="eastAsia"/>
          <w:b/>
          <w:bCs/>
        </w:rPr>
        <w:t>查理·贝尔（</w:t>
      </w:r>
      <w:r>
        <w:rPr>
          <w:rFonts w:hint="eastAsia" w:cs="Calibri" w:asciiTheme="minorHAnsi" w:hAnsiTheme="minorHAnsi"/>
          <w:b/>
          <w:bCs/>
          <w:szCs w:val="21"/>
        </w:rPr>
        <w:t>D</w:t>
      </w:r>
      <w:r>
        <w:rPr>
          <w:rFonts w:cs="Calibri" w:asciiTheme="minorHAnsi" w:hAnsiTheme="minorHAnsi"/>
          <w:b/>
          <w:bCs/>
          <w:szCs w:val="21"/>
        </w:rPr>
        <w:t>r. C</w:t>
      </w:r>
      <w:r>
        <w:rPr>
          <w:rFonts w:hint="eastAsia" w:cs="Calibri" w:asciiTheme="minorHAnsi" w:hAnsiTheme="minorHAnsi"/>
          <w:b/>
          <w:bCs/>
          <w:szCs w:val="21"/>
        </w:rPr>
        <w:t>ha</w:t>
      </w:r>
      <w:r>
        <w:rPr>
          <w:rFonts w:cs="Calibri" w:asciiTheme="minorHAnsi" w:hAnsiTheme="minorHAnsi"/>
          <w:b/>
          <w:bCs/>
          <w:szCs w:val="21"/>
        </w:rPr>
        <w:t>rlie Bell</w:t>
      </w:r>
      <w:r>
        <w:rPr>
          <w:rFonts w:hint="eastAsia"/>
          <w:b/>
          <w:bCs/>
        </w:rPr>
        <w:t>）</w:t>
      </w:r>
      <w:r>
        <w:rPr>
          <w:rFonts w:hint="eastAsia" w:cs="Calibri" w:asciiTheme="minorHAnsi" w:hAnsiTheme="minorHAnsi"/>
          <w:b/>
          <w:bCs/>
          <w:szCs w:val="21"/>
        </w:rPr>
        <w:t>博士，剑桥大学格顿学院医学讲师、院士</w:t>
      </w:r>
      <w:r>
        <w:rPr>
          <w:rFonts w:cs="Calibri" w:asciiTheme="minorHAnsi" w:hAnsiTheme="minorHAnsi"/>
          <w:szCs w:val="21"/>
        </w:rPr>
        <w:t xml:space="preserve"> </w:t>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个人背景：贝尔博士毕业于剑桥大学，获免疫遗传学博士学位，主要研究方向是在临床试验背景下，确定参与自身免疫反应的遗传途径和新型免疫疗法。除在剑桥大学任教之外，他还在南伦敦与</w:t>
      </w:r>
      <w:r>
        <w:t>莫德斯利</w:t>
      </w:r>
      <w:r>
        <w:rPr>
          <w:rFonts w:cs="Calibri" w:asciiTheme="minorHAnsi" w:hAnsiTheme="minorHAnsi"/>
          <w:szCs w:val="21"/>
        </w:rPr>
        <w:t>NHS</w:t>
      </w:r>
      <w:r>
        <w:rPr>
          <w:rFonts w:hint="eastAsia" w:cs="Calibri" w:asciiTheme="minorHAnsi" w:hAnsiTheme="minorHAnsi"/>
          <w:szCs w:val="21"/>
        </w:rPr>
        <w:t>信托基金担任临床学术研究员，并在伦敦国王学院担任临床精神病医生。</w:t>
      </w:r>
    </w:p>
    <w:p>
      <w:pPr>
        <w:spacing w:line="360" w:lineRule="auto"/>
        <w:ind w:firstLine="420" w:firstLineChars="200"/>
        <w:rPr>
          <w:rFonts w:cs="Calibri" w:asciiTheme="minorHAnsi" w:hAnsiTheme="minorHAnsi"/>
          <w:szCs w:val="21"/>
        </w:rPr>
      </w:pPr>
      <w:r>
        <w:rPr>
          <w:rFonts w:hint="eastAsia" w:cs="Calibri" w:asciiTheme="minorHAnsi" w:hAnsiTheme="minorHAnsi"/>
          <w:szCs w:val="21"/>
        </w:rPr>
        <w:t>此外，他还从牛津大学获得了教学方面的研究生文凭，在英国高等教育研究院担任高级研究员，并在医学领导力与管理学院担任副研究员。他参与了伦敦大学全球M</w:t>
      </w:r>
      <w:r>
        <w:rPr>
          <w:rFonts w:cs="Calibri" w:asciiTheme="minorHAnsi" w:hAnsiTheme="minorHAnsi"/>
          <w:szCs w:val="21"/>
        </w:rPr>
        <w:t>BA</w:t>
      </w:r>
      <w:r>
        <w:rPr>
          <w:rFonts w:hint="eastAsia" w:cs="Calibri" w:asciiTheme="minorHAnsi" w:hAnsiTheme="minorHAnsi"/>
          <w:szCs w:val="21"/>
        </w:rPr>
        <w:t>项目中健康模块的设计并担任模块负责人。去年，他还曾经为英国议会提供临床方面的政策顾问服务。</w:t>
      </w:r>
    </w:p>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项目考核</w:t>
      </w:r>
      <w:r>
        <w:rPr>
          <w:rFonts w:cs="Calibri" w:asciiTheme="minorHAnsi" w:hAnsiTheme="minorHAnsi"/>
          <w:szCs w:val="21"/>
        </w:rPr>
        <w:t>】</w:t>
      </w:r>
    </w:p>
    <w:p>
      <w:pPr>
        <w:spacing w:line="360" w:lineRule="auto"/>
        <w:ind w:firstLine="420" w:firstLineChars="200"/>
        <w:rPr>
          <w:rFonts w:cs="Calibri" w:asciiTheme="minorHAnsi" w:hAnsiTheme="minorHAnsi"/>
          <w:szCs w:val="21"/>
        </w:rPr>
      </w:pPr>
      <w:r>
        <w:rPr>
          <w:rFonts w:hint="eastAsia" w:asciiTheme="minorHAnsi" w:hAnsiTheme="minorHAnsi" w:eastAsiaTheme="majorEastAsia" w:cstheme="minorHAnsi"/>
          <w:szCs w:val="21"/>
        </w:rPr>
        <w:t>项目学生由</w:t>
      </w:r>
      <w:r>
        <w:rPr>
          <w:rFonts w:hint="eastAsia" w:cs="Calibri" w:asciiTheme="minorHAnsi" w:hAnsiTheme="minorHAnsi"/>
          <w:szCs w:val="21"/>
        </w:rPr>
        <w:t>剑桥</w:t>
      </w:r>
      <w:r>
        <w:rPr>
          <w:rFonts w:hint="eastAsia" w:asciiTheme="minorHAnsi" w:hAnsiTheme="minorHAnsi" w:eastAsiaTheme="majorEastAsia" w:cstheme="minorHAnsi"/>
          <w:szCs w:val="21"/>
        </w:rPr>
        <w:t>大学格顿学院进行统一的学术管理与学术考核，顺利完成学习后，学生将获得</w:t>
      </w:r>
      <w:r>
        <w:rPr>
          <w:rFonts w:hint="eastAsia" w:cs="Calibri" w:asciiTheme="minorHAnsi" w:hAnsiTheme="minorHAnsi"/>
          <w:szCs w:val="21"/>
        </w:rPr>
        <w:t>剑桥</w:t>
      </w:r>
      <w:r>
        <w:rPr>
          <w:rFonts w:hint="eastAsia" w:asciiTheme="minorHAnsi" w:hAnsiTheme="minorHAnsi" w:eastAsiaTheme="majorEastAsia" w:cstheme="minorHAnsi"/>
          <w:szCs w:val="21"/>
        </w:rPr>
        <w:t>大学格顿学院颁发的成绩单与项目证书</w:t>
      </w:r>
      <w:r>
        <w:rPr>
          <w:rFonts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drawing>
          <wp:anchor distT="0" distB="0" distL="114300" distR="114300" simplePos="0" relativeHeight="251660288" behindDoc="0" locked="0" layoutInCell="1" allowOverlap="1">
            <wp:simplePos x="0" y="0"/>
            <wp:positionH relativeFrom="column">
              <wp:posOffset>-31750</wp:posOffset>
            </wp:positionH>
            <wp:positionV relativeFrom="paragraph">
              <wp:posOffset>48895</wp:posOffset>
            </wp:positionV>
            <wp:extent cx="3454400" cy="249872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454400" cy="2498725"/>
                    </a:xfrm>
                    <a:prstGeom prst="rect">
                      <a:avLst/>
                    </a:prstGeom>
                  </pic:spPr>
                </pic:pic>
              </a:graphicData>
            </a:graphic>
          </wp:anchor>
        </w:drawing>
      </w: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ind w:firstLine="420" w:firstLineChars="200"/>
        <w:jc w:val="left"/>
        <w:rPr>
          <w:rFonts w:asciiTheme="minorHAnsi" w:hAnsiTheme="minorHAnsi" w:eastAsiaTheme="majorEastAsia" w:cstheme="minorHAnsi"/>
          <w:szCs w:val="21"/>
        </w:rPr>
      </w:pPr>
    </w:p>
    <w:p>
      <w:pPr>
        <w:widowControl/>
        <w:spacing w:line="360" w:lineRule="auto"/>
        <w:jc w:val="left"/>
        <w:rPr>
          <w:rFonts w:asciiTheme="minorHAnsi" w:hAnsiTheme="minorHAnsi" w:eastAsiaTheme="majorEastAsia" w:cstheme="minorHAnsi"/>
          <w:szCs w:val="21"/>
        </w:rPr>
      </w:pPr>
      <w:r>
        <w:drawing>
          <wp:anchor distT="0" distB="0" distL="114300" distR="114300" simplePos="0" relativeHeight="251661312" behindDoc="0" locked="0" layoutInCell="1" allowOverlap="1">
            <wp:simplePos x="0" y="0"/>
            <wp:positionH relativeFrom="column">
              <wp:posOffset>-190500</wp:posOffset>
            </wp:positionH>
            <wp:positionV relativeFrom="paragraph">
              <wp:posOffset>177800</wp:posOffset>
            </wp:positionV>
            <wp:extent cx="3234055" cy="3604260"/>
            <wp:effectExtent l="0" t="0" r="444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234055" cy="3604260"/>
                    </a:xfrm>
                    <a:prstGeom prst="rect">
                      <a:avLst/>
                    </a:prstGeom>
                  </pic:spPr>
                </pic:pic>
              </a:graphicData>
            </a:graphic>
          </wp:anchor>
        </w:drawing>
      </w:r>
    </w:p>
    <w:p>
      <w:pPr>
        <w:spacing w:line="360" w:lineRule="auto"/>
        <w:rPr>
          <w:rFonts w:cs="Calibri" w:asciiTheme="minorHAnsi" w:hAnsiTheme="minorHAnsi"/>
          <w:sz w:val="22"/>
          <w:szCs w:val="22"/>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p>
    <w:p>
      <w:pPr>
        <w:spacing w:line="360" w:lineRule="auto"/>
        <w:rPr>
          <w:rFonts w:cs="Calibri" w:asciiTheme="minorHAnsi" w:hAnsiTheme="minorHAnsi"/>
          <w:szCs w:val="21"/>
        </w:rPr>
      </w:pPr>
      <w:r>
        <w:rPr>
          <w:rFonts w:hint="eastAsia" w:cs="Calibri" w:asciiTheme="minorHAnsi" w:hAnsiTheme="minorHAnsi"/>
          <w:szCs w:val="21"/>
        </w:rPr>
        <w:t>图：剑桥大学项目证书与成绩单样图</w:t>
      </w:r>
    </w:p>
    <w:p>
      <w:pPr>
        <w:widowControl/>
        <w:spacing w:line="360" w:lineRule="auto"/>
        <w:jc w:val="left"/>
        <w:rPr>
          <w:rFonts w:asciiTheme="minorHAnsi" w:hAnsiTheme="minorHAnsi" w:eastAsiaTheme="majorEastAsia" w:cstheme="minorHAnsi"/>
          <w:szCs w:val="21"/>
        </w:rPr>
      </w:pP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约人民币</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15</w:t>
            </w:r>
            <w:r>
              <w:rPr>
                <w:rFonts w:hint="eastAsia" w:asciiTheme="minorHAnsi" w:hAnsiTheme="minorHAnsi" w:eastAsiaTheme="majorEastAsia" w:cstheme="minorHAnsi"/>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spacing w:line="360" w:lineRule="auto"/>
              <w:rPr>
                <w:rFonts w:asciiTheme="minorHAnsi" w:hAnsiTheme="minorHAnsi" w:eastAsiaTheme="majorEastAsia" w:cstheme="minorHAnsi"/>
                <w:szCs w:val="21"/>
              </w:rPr>
            </w:pPr>
            <w:r>
              <w:rPr>
                <w:rFonts w:asciiTheme="minorHAnsi" w:hAnsiTheme="minorHAnsi" w:eastAsiaTheme="majorEastAsia" w:cstheme="minorHAnsi"/>
                <w:szCs w:val="21"/>
              </w:rPr>
              <w:t>学费</w:t>
            </w:r>
            <w:r>
              <w:rPr>
                <w:rFonts w:hint="eastAsia" w:asciiTheme="minorHAnsi" w:hAnsiTheme="minorHAnsi" w:eastAsiaTheme="majorEastAsia" w:cstheme="minorHAnsi"/>
                <w:szCs w:val="21"/>
              </w:rPr>
              <w:t>、校内</w:t>
            </w:r>
            <w:r>
              <w:rPr>
                <w:rFonts w:asciiTheme="minorHAnsi" w:hAnsiTheme="minorHAnsi" w:eastAsiaTheme="majorEastAsia" w:cstheme="minorHAnsi"/>
                <w:szCs w:val="21"/>
              </w:rPr>
              <w:t>住宿</w:t>
            </w:r>
            <w:r>
              <w:rPr>
                <w:rFonts w:hint="eastAsia" w:asciiTheme="minorHAnsi" w:hAnsiTheme="minorHAnsi" w:eastAsiaTheme="majorEastAsia" w:cstheme="minorHAnsi"/>
                <w:szCs w:val="21"/>
              </w:rPr>
              <w:t>、学校</w:t>
            </w:r>
            <w:r>
              <w:rPr>
                <w:rFonts w:asciiTheme="minorHAnsi" w:hAnsiTheme="minorHAnsi" w:eastAsiaTheme="majorEastAsia" w:cstheme="minorHAnsi"/>
                <w:szCs w:val="21"/>
              </w:rPr>
              <w:t>设施使用</w:t>
            </w:r>
            <w:r>
              <w:rPr>
                <w:rFonts w:hint="eastAsia" w:asciiTheme="minorHAnsi" w:hAnsiTheme="minorHAnsi" w:eastAsiaTheme="majorEastAsia" w:cstheme="minorHAnsi"/>
                <w:szCs w:val="21"/>
              </w:rPr>
              <w:t>、餐费（约每日两餐、以及项目所安排的晚宴与下午茶）、文化体验活动、医疗与意外保险、接送机以</w:t>
            </w:r>
            <w:r>
              <w:rPr>
                <w:rFonts w:asciiTheme="minorHAnsi" w:hAnsiTheme="minorHAnsi" w:eastAsiaTheme="majorEastAsia" w:cstheme="minorHAnsi"/>
                <w:szCs w:val="21"/>
              </w:rPr>
              <w:t>及项目</w:t>
            </w:r>
            <w:r>
              <w:rPr>
                <w:rFonts w:hint="eastAsia" w:asciiTheme="minorHAnsi" w:hAnsiTheme="minorHAnsi" w:eastAsiaTheme="majorEastAsia" w:cstheme="minorHAnsi"/>
                <w:szCs w:val="21"/>
              </w:rPr>
              <w:t>服务</w:t>
            </w:r>
            <w:r>
              <w:rPr>
                <w:rFonts w:asciiTheme="minorHAnsi" w:hAnsiTheme="minorHAnsi" w:eastAsiaTheme="majorEastAsia" w:cstheme="minorHAnsi"/>
                <w:szCs w:val="21"/>
              </w:rPr>
              <w:t>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w:t>
            </w:r>
            <w:r>
              <w:rPr>
                <w:rFonts w:asciiTheme="minorHAnsi" w:hAnsiTheme="minorHAnsi" w:eastAsiaTheme="majorEastAsia" w:cstheme="minorHAnsi"/>
                <w:szCs w:val="21"/>
              </w:rPr>
              <w:t>机票</w:t>
            </w:r>
            <w:r>
              <w:rPr>
                <w:rFonts w:hint="eastAsia" w:asciiTheme="minorHAnsi" w:hAnsiTheme="minorHAnsi" w:eastAsiaTheme="majorEastAsia" w:cstheme="minorHAnsi"/>
                <w:szCs w:val="21"/>
              </w:rPr>
              <w:t>、英国</w:t>
            </w:r>
            <w:r>
              <w:rPr>
                <w:rFonts w:asciiTheme="minorHAnsi" w:hAnsiTheme="minorHAnsi" w:eastAsiaTheme="majorEastAsia" w:cstheme="minorHAnsi"/>
                <w:szCs w:val="21"/>
              </w:rPr>
              <w:t>签证费</w:t>
            </w:r>
            <w:r>
              <w:rPr>
                <w:rFonts w:hint="eastAsia" w:asciiTheme="minorHAnsi" w:hAnsiTheme="minorHAnsi" w:eastAsiaTheme="majorEastAsia" w:cstheme="minorHAnsi"/>
                <w:szCs w:val="21"/>
              </w:rPr>
              <w:t>、与其它个人消费</w:t>
            </w:r>
          </w:p>
        </w:tc>
      </w:tr>
    </w:tbl>
    <w:p>
      <w:pPr>
        <w:spacing w:line="360" w:lineRule="auto"/>
        <w:rPr>
          <w:rFonts w:asciiTheme="minorHAnsi" w:hAnsiTheme="minorHAnsi" w:eastAsiaTheme="majorEastAsia" w:cstheme="minorHAnsi"/>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21"/>
        <w:numPr>
          <w:numId w:val="0"/>
        </w:numPr>
        <w:spacing w:line="360" w:lineRule="auto"/>
        <w:ind w:left="210" w:leftChars="0"/>
        <w:rPr>
          <w:b/>
          <w:color w:val="1F497D"/>
          <w:sz w:val="36"/>
        </w:rPr>
      </w:pPr>
      <w:bookmarkStart w:id="4" w:name="_GoBack"/>
      <w:bookmarkEnd w:id="4"/>
      <w:r>
        <w:rPr>
          <w:rFonts w:asciiTheme="minorHAnsi" w:hAnsiTheme="minorHAnsi" w:eastAsiaTheme="majorEastAsia" w:cstheme="minorHAnsi"/>
          <w:szCs w:val="21"/>
        </w:rPr>
        <w:t>英语要求</w:t>
      </w:r>
      <w:r>
        <w:rPr>
          <w:rFonts w:hint="eastAsia" w:asciiTheme="minorHAnsi" w:hAnsiTheme="minorHAnsi" w:eastAsiaTheme="majorEastAsia" w:cstheme="minorHAnsi"/>
          <w:szCs w:val="21"/>
        </w:rPr>
        <w:t>：托福79，或雅思6.0，或大学英语四级5</w:t>
      </w:r>
      <w:r>
        <w:rPr>
          <w:rFonts w:asciiTheme="minorHAnsi" w:hAnsiTheme="minorHAnsi" w:eastAsiaTheme="majorEastAsia" w:cstheme="minorHAnsi"/>
          <w:szCs w:val="21"/>
        </w:rPr>
        <w:t>00</w:t>
      </w:r>
      <w:r>
        <w:rPr>
          <w:rFonts w:hint="eastAsia" w:asciiTheme="minorHAnsi" w:hAnsiTheme="minorHAnsi" w:eastAsiaTheme="majorEastAsia" w:cstheme="minorHAnsi"/>
          <w:szCs w:val="21"/>
        </w:rPr>
        <w:t>分，或大学英语六级4</w:t>
      </w:r>
      <w:r>
        <w:rPr>
          <w:rFonts w:asciiTheme="minorHAnsi" w:hAnsiTheme="minorHAnsi" w:eastAsiaTheme="majorEastAsia" w:cstheme="minorHAnsi"/>
          <w:szCs w:val="21"/>
        </w:rPr>
        <w:t>70</w:t>
      </w:r>
      <w:r>
        <w:rPr>
          <w:rFonts w:hint="eastAsia" w:asciiTheme="minorHAnsi" w:hAnsiTheme="minorHAnsi" w:eastAsiaTheme="majorEastAsia" w:cstheme="minorHAnsi"/>
          <w:szCs w:val="21"/>
        </w:rPr>
        <w:t>分，或专四/专八通过，或Duolingo105</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73FAF"/>
    <w:multiLevelType w:val="multilevel"/>
    <w:tmpl w:val="08973FA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45132763"/>
    <w:multiLevelType w:val="multilevel"/>
    <w:tmpl w:val="4513276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49241C2D"/>
    <w:multiLevelType w:val="multilevel"/>
    <w:tmpl w:val="49241C2D"/>
    <w:lvl w:ilvl="0" w:tentative="0">
      <w:start w:val="1"/>
      <w:numFmt w:val="japaneseCounting"/>
      <w:lvlText w:val="%1、"/>
      <w:lvlJc w:val="left"/>
      <w:pPr>
        <w:ind w:left="440" w:hanging="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EF5BE7"/>
    <w:multiLevelType w:val="multilevel"/>
    <w:tmpl w:val="5AEF5BE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cs="Wingdings"/>
      </w:rPr>
    </w:lvl>
    <w:lvl w:ilvl="2" w:tentative="0">
      <w:start w:val="1"/>
      <w:numFmt w:val="bullet"/>
      <w:lvlText w:val=""/>
      <w:lvlJc w:val="left"/>
      <w:pPr>
        <w:ind w:left="1680" w:hanging="420"/>
      </w:pPr>
      <w:rPr>
        <w:rFonts w:hint="default" w:ascii="Wingdings" w:hAnsi="Wingdings" w:cs="Wingdings"/>
      </w:rPr>
    </w:lvl>
    <w:lvl w:ilvl="3" w:tentative="0">
      <w:start w:val="1"/>
      <w:numFmt w:val="bullet"/>
      <w:lvlText w:val=""/>
      <w:lvlJc w:val="left"/>
      <w:pPr>
        <w:ind w:left="2100" w:hanging="420"/>
      </w:pPr>
      <w:rPr>
        <w:rFonts w:hint="default" w:ascii="Wingdings" w:hAnsi="Wingdings" w:cs="Wingdings"/>
      </w:rPr>
    </w:lvl>
    <w:lvl w:ilvl="4" w:tentative="0">
      <w:start w:val="1"/>
      <w:numFmt w:val="bullet"/>
      <w:lvlText w:val=""/>
      <w:lvlJc w:val="left"/>
      <w:pPr>
        <w:ind w:left="2520" w:hanging="420"/>
      </w:pPr>
      <w:rPr>
        <w:rFonts w:hint="default" w:ascii="Wingdings" w:hAnsi="Wingdings" w:cs="Wingdings"/>
      </w:rPr>
    </w:lvl>
    <w:lvl w:ilvl="5" w:tentative="0">
      <w:start w:val="1"/>
      <w:numFmt w:val="bullet"/>
      <w:lvlText w:val=""/>
      <w:lvlJc w:val="left"/>
      <w:pPr>
        <w:ind w:left="2940" w:hanging="420"/>
      </w:pPr>
      <w:rPr>
        <w:rFonts w:hint="default" w:ascii="Wingdings" w:hAnsi="Wingdings" w:cs="Wingdings"/>
      </w:rPr>
    </w:lvl>
    <w:lvl w:ilvl="6" w:tentative="0">
      <w:start w:val="1"/>
      <w:numFmt w:val="bullet"/>
      <w:lvlText w:val=""/>
      <w:lvlJc w:val="left"/>
      <w:pPr>
        <w:ind w:left="3360" w:hanging="420"/>
      </w:pPr>
      <w:rPr>
        <w:rFonts w:hint="default" w:ascii="Wingdings" w:hAnsi="Wingdings" w:cs="Wingdings"/>
      </w:rPr>
    </w:lvl>
    <w:lvl w:ilvl="7" w:tentative="0">
      <w:start w:val="1"/>
      <w:numFmt w:val="bullet"/>
      <w:lvlText w:val=""/>
      <w:lvlJc w:val="left"/>
      <w:pPr>
        <w:ind w:left="3780" w:hanging="420"/>
      </w:pPr>
      <w:rPr>
        <w:rFonts w:hint="default" w:ascii="Wingdings" w:hAnsi="Wingdings" w:cs="Wingdings"/>
      </w:rPr>
    </w:lvl>
    <w:lvl w:ilvl="8" w:tentative="0">
      <w:start w:val="1"/>
      <w:numFmt w:val="bullet"/>
      <w:lvlText w:val=""/>
      <w:lvlJc w:val="left"/>
      <w:pPr>
        <w:ind w:left="4200" w:hanging="420"/>
      </w:pPr>
      <w:rPr>
        <w:rFonts w:hint="default" w:ascii="Wingdings" w:hAnsi="Wingdings" w:cs="Wingdings"/>
      </w:rPr>
    </w:lvl>
  </w:abstractNum>
  <w:abstractNum w:abstractNumId="4">
    <w:nsid w:val="67D81316"/>
    <w:multiLevelType w:val="multilevel"/>
    <w:tmpl w:val="67D81316"/>
    <w:lvl w:ilvl="0" w:tentative="0">
      <w:start w:val="1"/>
      <w:numFmt w:val="bullet"/>
      <w:lvlText w:val=""/>
      <w:lvlJc w:val="left"/>
      <w:pPr>
        <w:ind w:left="860" w:hanging="44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wYWUxODQyNjRiOTc2ZTY5ZTY2Mjc0M2Q3ZmE1MzQifQ=="/>
    <w:docVar w:name="KSO_WPS_MARK_KEY" w:val="7554fc3a-021a-498f-b670-79362368c444"/>
  </w:docVars>
  <w:rsids>
    <w:rsidRoot w:val="00500A8F"/>
    <w:rsid w:val="00002A7B"/>
    <w:rsid w:val="000035D7"/>
    <w:rsid w:val="00003F3F"/>
    <w:rsid w:val="00005020"/>
    <w:rsid w:val="00006712"/>
    <w:rsid w:val="00006FC4"/>
    <w:rsid w:val="000077A9"/>
    <w:rsid w:val="00010F31"/>
    <w:rsid w:val="000117F3"/>
    <w:rsid w:val="000169DD"/>
    <w:rsid w:val="0001734D"/>
    <w:rsid w:val="00022AFD"/>
    <w:rsid w:val="000230BD"/>
    <w:rsid w:val="00023476"/>
    <w:rsid w:val="000236D2"/>
    <w:rsid w:val="000246FE"/>
    <w:rsid w:val="00024C64"/>
    <w:rsid w:val="00025206"/>
    <w:rsid w:val="0002660C"/>
    <w:rsid w:val="00026847"/>
    <w:rsid w:val="0003068E"/>
    <w:rsid w:val="00030A02"/>
    <w:rsid w:val="00031403"/>
    <w:rsid w:val="000317CD"/>
    <w:rsid w:val="00034A12"/>
    <w:rsid w:val="0003562C"/>
    <w:rsid w:val="000362BD"/>
    <w:rsid w:val="0003777C"/>
    <w:rsid w:val="00040016"/>
    <w:rsid w:val="000402B0"/>
    <w:rsid w:val="00041148"/>
    <w:rsid w:val="00041A01"/>
    <w:rsid w:val="00041BDA"/>
    <w:rsid w:val="000437C9"/>
    <w:rsid w:val="00044B87"/>
    <w:rsid w:val="00046229"/>
    <w:rsid w:val="000519A2"/>
    <w:rsid w:val="00051A3D"/>
    <w:rsid w:val="0005389A"/>
    <w:rsid w:val="00060047"/>
    <w:rsid w:val="0006181E"/>
    <w:rsid w:val="00064671"/>
    <w:rsid w:val="00065242"/>
    <w:rsid w:val="00066BB4"/>
    <w:rsid w:val="00066CD0"/>
    <w:rsid w:val="00072B90"/>
    <w:rsid w:val="0008167D"/>
    <w:rsid w:val="000820F9"/>
    <w:rsid w:val="00083952"/>
    <w:rsid w:val="000840CC"/>
    <w:rsid w:val="00091C7E"/>
    <w:rsid w:val="0009206E"/>
    <w:rsid w:val="00094D41"/>
    <w:rsid w:val="000953D3"/>
    <w:rsid w:val="000954F4"/>
    <w:rsid w:val="0009732E"/>
    <w:rsid w:val="000A081D"/>
    <w:rsid w:val="000A0A86"/>
    <w:rsid w:val="000A1253"/>
    <w:rsid w:val="000A2A22"/>
    <w:rsid w:val="000A3961"/>
    <w:rsid w:val="000A4030"/>
    <w:rsid w:val="000A5251"/>
    <w:rsid w:val="000B1A29"/>
    <w:rsid w:val="000B346F"/>
    <w:rsid w:val="000B3A73"/>
    <w:rsid w:val="000B621C"/>
    <w:rsid w:val="000B70CB"/>
    <w:rsid w:val="000C174A"/>
    <w:rsid w:val="000C2F7C"/>
    <w:rsid w:val="000C31FB"/>
    <w:rsid w:val="000C3F5B"/>
    <w:rsid w:val="000C4B10"/>
    <w:rsid w:val="000C4E56"/>
    <w:rsid w:val="000C5C18"/>
    <w:rsid w:val="000C7F9A"/>
    <w:rsid w:val="000D4BC5"/>
    <w:rsid w:val="000D5021"/>
    <w:rsid w:val="000E043D"/>
    <w:rsid w:val="000E1209"/>
    <w:rsid w:val="000E1EBC"/>
    <w:rsid w:val="000E71FC"/>
    <w:rsid w:val="000E7482"/>
    <w:rsid w:val="000F168E"/>
    <w:rsid w:val="000F6E7C"/>
    <w:rsid w:val="001013E1"/>
    <w:rsid w:val="0010196F"/>
    <w:rsid w:val="001051AF"/>
    <w:rsid w:val="00106BA3"/>
    <w:rsid w:val="00110B1F"/>
    <w:rsid w:val="00110EDA"/>
    <w:rsid w:val="0011231F"/>
    <w:rsid w:val="00112EFC"/>
    <w:rsid w:val="001131EA"/>
    <w:rsid w:val="00114EE5"/>
    <w:rsid w:val="00116EF3"/>
    <w:rsid w:val="001202FC"/>
    <w:rsid w:val="00120A5E"/>
    <w:rsid w:val="00120BC0"/>
    <w:rsid w:val="0012340B"/>
    <w:rsid w:val="001241E8"/>
    <w:rsid w:val="0012488E"/>
    <w:rsid w:val="00124B0D"/>
    <w:rsid w:val="00125024"/>
    <w:rsid w:val="001262F3"/>
    <w:rsid w:val="001269AC"/>
    <w:rsid w:val="00127FE8"/>
    <w:rsid w:val="00130C2B"/>
    <w:rsid w:val="00131D30"/>
    <w:rsid w:val="00134011"/>
    <w:rsid w:val="00135325"/>
    <w:rsid w:val="00135F93"/>
    <w:rsid w:val="001370FA"/>
    <w:rsid w:val="001373D5"/>
    <w:rsid w:val="00137744"/>
    <w:rsid w:val="00140792"/>
    <w:rsid w:val="00143294"/>
    <w:rsid w:val="00146AB9"/>
    <w:rsid w:val="001535A1"/>
    <w:rsid w:val="00153DF4"/>
    <w:rsid w:val="00155FCC"/>
    <w:rsid w:val="0015773D"/>
    <w:rsid w:val="00160616"/>
    <w:rsid w:val="001621FC"/>
    <w:rsid w:val="00163A34"/>
    <w:rsid w:val="0016424C"/>
    <w:rsid w:val="00167799"/>
    <w:rsid w:val="00170451"/>
    <w:rsid w:val="00170750"/>
    <w:rsid w:val="0017244A"/>
    <w:rsid w:val="001738F0"/>
    <w:rsid w:val="00173AC0"/>
    <w:rsid w:val="001756B4"/>
    <w:rsid w:val="00176E73"/>
    <w:rsid w:val="00176F21"/>
    <w:rsid w:val="0018033F"/>
    <w:rsid w:val="00180AB5"/>
    <w:rsid w:val="00182AE1"/>
    <w:rsid w:val="00182E04"/>
    <w:rsid w:val="001834A2"/>
    <w:rsid w:val="0018354F"/>
    <w:rsid w:val="00185175"/>
    <w:rsid w:val="00186190"/>
    <w:rsid w:val="00190118"/>
    <w:rsid w:val="00192C0F"/>
    <w:rsid w:val="0019459B"/>
    <w:rsid w:val="001A0C7A"/>
    <w:rsid w:val="001A0F42"/>
    <w:rsid w:val="001A281F"/>
    <w:rsid w:val="001A4366"/>
    <w:rsid w:val="001A6532"/>
    <w:rsid w:val="001A7D56"/>
    <w:rsid w:val="001B0D76"/>
    <w:rsid w:val="001B1730"/>
    <w:rsid w:val="001B1E96"/>
    <w:rsid w:val="001B5E97"/>
    <w:rsid w:val="001C1A51"/>
    <w:rsid w:val="001C3E35"/>
    <w:rsid w:val="001C3F55"/>
    <w:rsid w:val="001C6985"/>
    <w:rsid w:val="001D01C6"/>
    <w:rsid w:val="001D3619"/>
    <w:rsid w:val="001D4042"/>
    <w:rsid w:val="001D458C"/>
    <w:rsid w:val="001D4EF4"/>
    <w:rsid w:val="001D5D4C"/>
    <w:rsid w:val="001E05D1"/>
    <w:rsid w:val="001E31D7"/>
    <w:rsid w:val="001E3803"/>
    <w:rsid w:val="001E4E86"/>
    <w:rsid w:val="001E5494"/>
    <w:rsid w:val="001E5D98"/>
    <w:rsid w:val="001E5F6F"/>
    <w:rsid w:val="001F1FCF"/>
    <w:rsid w:val="001F5524"/>
    <w:rsid w:val="001F5934"/>
    <w:rsid w:val="001F67D2"/>
    <w:rsid w:val="00201963"/>
    <w:rsid w:val="00202030"/>
    <w:rsid w:val="00203BFF"/>
    <w:rsid w:val="00205F7F"/>
    <w:rsid w:val="002133F2"/>
    <w:rsid w:val="00216A64"/>
    <w:rsid w:val="0021711E"/>
    <w:rsid w:val="00217F17"/>
    <w:rsid w:val="002202A8"/>
    <w:rsid w:val="00220AE0"/>
    <w:rsid w:val="00220E2D"/>
    <w:rsid w:val="002211FB"/>
    <w:rsid w:val="0022214B"/>
    <w:rsid w:val="002274D9"/>
    <w:rsid w:val="00233816"/>
    <w:rsid w:val="0023684E"/>
    <w:rsid w:val="00237A96"/>
    <w:rsid w:val="00240E4E"/>
    <w:rsid w:val="00243947"/>
    <w:rsid w:val="002441C6"/>
    <w:rsid w:val="002449A1"/>
    <w:rsid w:val="00251642"/>
    <w:rsid w:val="00253C5E"/>
    <w:rsid w:val="00254207"/>
    <w:rsid w:val="00254A09"/>
    <w:rsid w:val="00255140"/>
    <w:rsid w:val="002605D6"/>
    <w:rsid w:val="00261406"/>
    <w:rsid w:val="00261C11"/>
    <w:rsid w:val="00266D3D"/>
    <w:rsid w:val="002679B3"/>
    <w:rsid w:val="00271BCB"/>
    <w:rsid w:val="00274A34"/>
    <w:rsid w:val="00275270"/>
    <w:rsid w:val="0027596B"/>
    <w:rsid w:val="0028056A"/>
    <w:rsid w:val="00280A41"/>
    <w:rsid w:val="0028529C"/>
    <w:rsid w:val="002852EE"/>
    <w:rsid w:val="00286224"/>
    <w:rsid w:val="002906DF"/>
    <w:rsid w:val="0029179F"/>
    <w:rsid w:val="00292059"/>
    <w:rsid w:val="00292326"/>
    <w:rsid w:val="00295361"/>
    <w:rsid w:val="002954BF"/>
    <w:rsid w:val="00296088"/>
    <w:rsid w:val="00296348"/>
    <w:rsid w:val="00296493"/>
    <w:rsid w:val="00297E1A"/>
    <w:rsid w:val="002A32D9"/>
    <w:rsid w:val="002A3386"/>
    <w:rsid w:val="002A33B3"/>
    <w:rsid w:val="002A402F"/>
    <w:rsid w:val="002A4B74"/>
    <w:rsid w:val="002A6E42"/>
    <w:rsid w:val="002B47D8"/>
    <w:rsid w:val="002B5E23"/>
    <w:rsid w:val="002B61B2"/>
    <w:rsid w:val="002B61DD"/>
    <w:rsid w:val="002B7076"/>
    <w:rsid w:val="002B7158"/>
    <w:rsid w:val="002C2028"/>
    <w:rsid w:val="002C229B"/>
    <w:rsid w:val="002C27D4"/>
    <w:rsid w:val="002C3077"/>
    <w:rsid w:val="002C3134"/>
    <w:rsid w:val="002C612F"/>
    <w:rsid w:val="002C6AEB"/>
    <w:rsid w:val="002C722D"/>
    <w:rsid w:val="002D04D0"/>
    <w:rsid w:val="002D0DAC"/>
    <w:rsid w:val="002D76B2"/>
    <w:rsid w:val="002D7B20"/>
    <w:rsid w:val="002E0BA0"/>
    <w:rsid w:val="002E1476"/>
    <w:rsid w:val="002E3299"/>
    <w:rsid w:val="002E4985"/>
    <w:rsid w:val="002E5400"/>
    <w:rsid w:val="002E64CC"/>
    <w:rsid w:val="002F1A53"/>
    <w:rsid w:val="002F1D30"/>
    <w:rsid w:val="002F3568"/>
    <w:rsid w:val="002F7AB9"/>
    <w:rsid w:val="003013CE"/>
    <w:rsid w:val="0030157A"/>
    <w:rsid w:val="00302995"/>
    <w:rsid w:val="00303D3D"/>
    <w:rsid w:val="003047BA"/>
    <w:rsid w:val="00306D33"/>
    <w:rsid w:val="00313A58"/>
    <w:rsid w:val="00316C8F"/>
    <w:rsid w:val="0031712B"/>
    <w:rsid w:val="00320268"/>
    <w:rsid w:val="0032092A"/>
    <w:rsid w:val="00321528"/>
    <w:rsid w:val="00321717"/>
    <w:rsid w:val="00321D5F"/>
    <w:rsid w:val="0032313B"/>
    <w:rsid w:val="00330A2B"/>
    <w:rsid w:val="00330EF0"/>
    <w:rsid w:val="00333C15"/>
    <w:rsid w:val="00334EC1"/>
    <w:rsid w:val="00336487"/>
    <w:rsid w:val="00342D9D"/>
    <w:rsid w:val="00342E7E"/>
    <w:rsid w:val="0034375B"/>
    <w:rsid w:val="00345B21"/>
    <w:rsid w:val="0035066E"/>
    <w:rsid w:val="003508E4"/>
    <w:rsid w:val="003518A8"/>
    <w:rsid w:val="00352A1D"/>
    <w:rsid w:val="00353816"/>
    <w:rsid w:val="00353897"/>
    <w:rsid w:val="00355979"/>
    <w:rsid w:val="003574A4"/>
    <w:rsid w:val="003617F7"/>
    <w:rsid w:val="00361CCF"/>
    <w:rsid w:val="00364A0C"/>
    <w:rsid w:val="003701E2"/>
    <w:rsid w:val="003738EA"/>
    <w:rsid w:val="00375491"/>
    <w:rsid w:val="00381E2C"/>
    <w:rsid w:val="003822A8"/>
    <w:rsid w:val="00383DCC"/>
    <w:rsid w:val="00386A4E"/>
    <w:rsid w:val="00386C51"/>
    <w:rsid w:val="00387362"/>
    <w:rsid w:val="00390C9A"/>
    <w:rsid w:val="00390FCA"/>
    <w:rsid w:val="003930A4"/>
    <w:rsid w:val="00394758"/>
    <w:rsid w:val="00394A95"/>
    <w:rsid w:val="00396306"/>
    <w:rsid w:val="00397742"/>
    <w:rsid w:val="003A5A06"/>
    <w:rsid w:val="003A6BB9"/>
    <w:rsid w:val="003B4151"/>
    <w:rsid w:val="003B669C"/>
    <w:rsid w:val="003B786E"/>
    <w:rsid w:val="003C30F6"/>
    <w:rsid w:val="003C6EF7"/>
    <w:rsid w:val="003D0F7B"/>
    <w:rsid w:val="003D0FE9"/>
    <w:rsid w:val="003D13F7"/>
    <w:rsid w:val="003D2BCE"/>
    <w:rsid w:val="003D4037"/>
    <w:rsid w:val="003D4529"/>
    <w:rsid w:val="003D4B46"/>
    <w:rsid w:val="003D5531"/>
    <w:rsid w:val="003D5F48"/>
    <w:rsid w:val="003D7B86"/>
    <w:rsid w:val="003E01B3"/>
    <w:rsid w:val="003E3199"/>
    <w:rsid w:val="003E3788"/>
    <w:rsid w:val="003E5A15"/>
    <w:rsid w:val="003E7DA0"/>
    <w:rsid w:val="003F050A"/>
    <w:rsid w:val="003F059B"/>
    <w:rsid w:val="003F06E9"/>
    <w:rsid w:val="003F16A0"/>
    <w:rsid w:val="003F2E15"/>
    <w:rsid w:val="003F4097"/>
    <w:rsid w:val="003F50D1"/>
    <w:rsid w:val="003F5D96"/>
    <w:rsid w:val="003F5F88"/>
    <w:rsid w:val="00400A42"/>
    <w:rsid w:val="00402B49"/>
    <w:rsid w:val="00404265"/>
    <w:rsid w:val="0041117C"/>
    <w:rsid w:val="0041273F"/>
    <w:rsid w:val="0042204E"/>
    <w:rsid w:val="004260E9"/>
    <w:rsid w:val="00426325"/>
    <w:rsid w:val="00430B91"/>
    <w:rsid w:val="004330A9"/>
    <w:rsid w:val="004346FF"/>
    <w:rsid w:val="00437A33"/>
    <w:rsid w:val="00440C9F"/>
    <w:rsid w:val="00443C5D"/>
    <w:rsid w:val="004469A3"/>
    <w:rsid w:val="0045270B"/>
    <w:rsid w:val="00454C45"/>
    <w:rsid w:val="00455152"/>
    <w:rsid w:val="00460AFB"/>
    <w:rsid w:val="00460CE3"/>
    <w:rsid w:val="00461EE8"/>
    <w:rsid w:val="004624BE"/>
    <w:rsid w:val="00464F1E"/>
    <w:rsid w:val="00465A92"/>
    <w:rsid w:val="00466294"/>
    <w:rsid w:val="004679CE"/>
    <w:rsid w:val="00467FC8"/>
    <w:rsid w:val="00470270"/>
    <w:rsid w:val="00471CBF"/>
    <w:rsid w:val="00472046"/>
    <w:rsid w:val="00472160"/>
    <w:rsid w:val="00480534"/>
    <w:rsid w:val="00481A67"/>
    <w:rsid w:val="00484C1A"/>
    <w:rsid w:val="00485AD1"/>
    <w:rsid w:val="00486AA5"/>
    <w:rsid w:val="004871CB"/>
    <w:rsid w:val="004932B6"/>
    <w:rsid w:val="004946E0"/>
    <w:rsid w:val="00495E6D"/>
    <w:rsid w:val="004A1602"/>
    <w:rsid w:val="004A51A8"/>
    <w:rsid w:val="004A6DB4"/>
    <w:rsid w:val="004B1C5D"/>
    <w:rsid w:val="004B49EE"/>
    <w:rsid w:val="004B4D89"/>
    <w:rsid w:val="004B516E"/>
    <w:rsid w:val="004C0E26"/>
    <w:rsid w:val="004C15F5"/>
    <w:rsid w:val="004C343D"/>
    <w:rsid w:val="004C5277"/>
    <w:rsid w:val="004C6632"/>
    <w:rsid w:val="004C7286"/>
    <w:rsid w:val="004C7906"/>
    <w:rsid w:val="004D2423"/>
    <w:rsid w:val="004D2891"/>
    <w:rsid w:val="004D3884"/>
    <w:rsid w:val="004D5BBA"/>
    <w:rsid w:val="004D5D38"/>
    <w:rsid w:val="004D6D52"/>
    <w:rsid w:val="004E0748"/>
    <w:rsid w:val="004E6298"/>
    <w:rsid w:val="004E728E"/>
    <w:rsid w:val="004E7CD7"/>
    <w:rsid w:val="004F0AAB"/>
    <w:rsid w:val="004F0E1F"/>
    <w:rsid w:val="004F23AE"/>
    <w:rsid w:val="004F743F"/>
    <w:rsid w:val="004F7C1B"/>
    <w:rsid w:val="00500A8F"/>
    <w:rsid w:val="00500DE1"/>
    <w:rsid w:val="005028D5"/>
    <w:rsid w:val="005043E9"/>
    <w:rsid w:val="00504FF1"/>
    <w:rsid w:val="005060F9"/>
    <w:rsid w:val="0050712D"/>
    <w:rsid w:val="0051106C"/>
    <w:rsid w:val="00512BAE"/>
    <w:rsid w:val="005143A6"/>
    <w:rsid w:val="00520916"/>
    <w:rsid w:val="00520C0E"/>
    <w:rsid w:val="00521924"/>
    <w:rsid w:val="00522EAE"/>
    <w:rsid w:val="00523C32"/>
    <w:rsid w:val="005250F2"/>
    <w:rsid w:val="00525703"/>
    <w:rsid w:val="00526036"/>
    <w:rsid w:val="005260BE"/>
    <w:rsid w:val="00527573"/>
    <w:rsid w:val="005326B5"/>
    <w:rsid w:val="005339BB"/>
    <w:rsid w:val="00536F45"/>
    <w:rsid w:val="00537454"/>
    <w:rsid w:val="00537EE6"/>
    <w:rsid w:val="00543ACC"/>
    <w:rsid w:val="005447E3"/>
    <w:rsid w:val="00546BCA"/>
    <w:rsid w:val="00547E75"/>
    <w:rsid w:val="00552CC6"/>
    <w:rsid w:val="00554115"/>
    <w:rsid w:val="00554D5C"/>
    <w:rsid w:val="00555016"/>
    <w:rsid w:val="00555043"/>
    <w:rsid w:val="005559B9"/>
    <w:rsid w:val="00556212"/>
    <w:rsid w:val="005606AC"/>
    <w:rsid w:val="00563622"/>
    <w:rsid w:val="005643D6"/>
    <w:rsid w:val="0057138A"/>
    <w:rsid w:val="00571797"/>
    <w:rsid w:val="00572B6E"/>
    <w:rsid w:val="005730D7"/>
    <w:rsid w:val="005762B0"/>
    <w:rsid w:val="00584716"/>
    <w:rsid w:val="005849E3"/>
    <w:rsid w:val="00584E4F"/>
    <w:rsid w:val="00584E6C"/>
    <w:rsid w:val="005851B1"/>
    <w:rsid w:val="005868F6"/>
    <w:rsid w:val="00586D6C"/>
    <w:rsid w:val="00587D18"/>
    <w:rsid w:val="00593AC3"/>
    <w:rsid w:val="00596D1A"/>
    <w:rsid w:val="00597F78"/>
    <w:rsid w:val="005A31F5"/>
    <w:rsid w:val="005A65C8"/>
    <w:rsid w:val="005B5140"/>
    <w:rsid w:val="005B69C2"/>
    <w:rsid w:val="005C27A1"/>
    <w:rsid w:val="005C28B5"/>
    <w:rsid w:val="005C4BF2"/>
    <w:rsid w:val="005C67D4"/>
    <w:rsid w:val="005C7CC0"/>
    <w:rsid w:val="005D0683"/>
    <w:rsid w:val="005D25A5"/>
    <w:rsid w:val="005D474E"/>
    <w:rsid w:val="005D6F09"/>
    <w:rsid w:val="005E09B7"/>
    <w:rsid w:val="005E09FF"/>
    <w:rsid w:val="005E5A41"/>
    <w:rsid w:val="005E674A"/>
    <w:rsid w:val="005E6E17"/>
    <w:rsid w:val="005F0AD3"/>
    <w:rsid w:val="005F23E2"/>
    <w:rsid w:val="005F6112"/>
    <w:rsid w:val="006001D3"/>
    <w:rsid w:val="006007FC"/>
    <w:rsid w:val="00603B0A"/>
    <w:rsid w:val="00606AA2"/>
    <w:rsid w:val="00606C4F"/>
    <w:rsid w:val="0060716E"/>
    <w:rsid w:val="00610563"/>
    <w:rsid w:val="00610575"/>
    <w:rsid w:val="006107E7"/>
    <w:rsid w:val="00611137"/>
    <w:rsid w:val="0061228A"/>
    <w:rsid w:val="006131C5"/>
    <w:rsid w:val="006139AA"/>
    <w:rsid w:val="00614E6A"/>
    <w:rsid w:val="006178B6"/>
    <w:rsid w:val="00617A76"/>
    <w:rsid w:val="00621516"/>
    <w:rsid w:val="00621ED0"/>
    <w:rsid w:val="00622238"/>
    <w:rsid w:val="00624BB2"/>
    <w:rsid w:val="00631FEE"/>
    <w:rsid w:val="00632329"/>
    <w:rsid w:val="00636A3C"/>
    <w:rsid w:val="00637AD1"/>
    <w:rsid w:val="006415DA"/>
    <w:rsid w:val="006452B3"/>
    <w:rsid w:val="00650088"/>
    <w:rsid w:val="00657FCD"/>
    <w:rsid w:val="00660B06"/>
    <w:rsid w:val="0066295A"/>
    <w:rsid w:val="00663035"/>
    <w:rsid w:val="00664055"/>
    <w:rsid w:val="00665190"/>
    <w:rsid w:val="006663C9"/>
    <w:rsid w:val="00666CF9"/>
    <w:rsid w:val="00667457"/>
    <w:rsid w:val="00667A61"/>
    <w:rsid w:val="00670ED6"/>
    <w:rsid w:val="006740B4"/>
    <w:rsid w:val="00674D28"/>
    <w:rsid w:val="0067541F"/>
    <w:rsid w:val="00680FF7"/>
    <w:rsid w:val="00681291"/>
    <w:rsid w:val="00683559"/>
    <w:rsid w:val="006858D5"/>
    <w:rsid w:val="00685B7F"/>
    <w:rsid w:val="00687037"/>
    <w:rsid w:val="00687DBB"/>
    <w:rsid w:val="0069235A"/>
    <w:rsid w:val="00695677"/>
    <w:rsid w:val="00696B1C"/>
    <w:rsid w:val="006A01E8"/>
    <w:rsid w:val="006A0D12"/>
    <w:rsid w:val="006A2B5F"/>
    <w:rsid w:val="006A2FF7"/>
    <w:rsid w:val="006A32C4"/>
    <w:rsid w:val="006A6080"/>
    <w:rsid w:val="006A72B8"/>
    <w:rsid w:val="006A7C06"/>
    <w:rsid w:val="006A7FC8"/>
    <w:rsid w:val="006B28F7"/>
    <w:rsid w:val="006B32CB"/>
    <w:rsid w:val="006B576E"/>
    <w:rsid w:val="006B7C51"/>
    <w:rsid w:val="006B7C8E"/>
    <w:rsid w:val="006C1F05"/>
    <w:rsid w:val="006C2070"/>
    <w:rsid w:val="006C40FF"/>
    <w:rsid w:val="006C4514"/>
    <w:rsid w:val="006C4BE5"/>
    <w:rsid w:val="006D5B15"/>
    <w:rsid w:val="006D642C"/>
    <w:rsid w:val="006E0EB0"/>
    <w:rsid w:val="006E1C73"/>
    <w:rsid w:val="006E4D38"/>
    <w:rsid w:val="006F038D"/>
    <w:rsid w:val="006F33A5"/>
    <w:rsid w:val="006F43A0"/>
    <w:rsid w:val="006F4885"/>
    <w:rsid w:val="006F52FF"/>
    <w:rsid w:val="006F6793"/>
    <w:rsid w:val="006F6D4C"/>
    <w:rsid w:val="006F70F8"/>
    <w:rsid w:val="00700EA9"/>
    <w:rsid w:val="0070255A"/>
    <w:rsid w:val="00705986"/>
    <w:rsid w:val="00705BEF"/>
    <w:rsid w:val="00706179"/>
    <w:rsid w:val="0071139B"/>
    <w:rsid w:val="007113DD"/>
    <w:rsid w:val="0071430B"/>
    <w:rsid w:val="00714E5A"/>
    <w:rsid w:val="00720659"/>
    <w:rsid w:val="0072201D"/>
    <w:rsid w:val="00722896"/>
    <w:rsid w:val="00722F01"/>
    <w:rsid w:val="00726857"/>
    <w:rsid w:val="00726D8F"/>
    <w:rsid w:val="00727B01"/>
    <w:rsid w:val="007313BF"/>
    <w:rsid w:val="007313FC"/>
    <w:rsid w:val="007328BD"/>
    <w:rsid w:val="00733292"/>
    <w:rsid w:val="0073329E"/>
    <w:rsid w:val="00734D73"/>
    <w:rsid w:val="00735A0C"/>
    <w:rsid w:val="00736663"/>
    <w:rsid w:val="0073670B"/>
    <w:rsid w:val="00740DD5"/>
    <w:rsid w:val="007423FD"/>
    <w:rsid w:val="00743412"/>
    <w:rsid w:val="007507D6"/>
    <w:rsid w:val="00760C7A"/>
    <w:rsid w:val="007619AD"/>
    <w:rsid w:val="00762330"/>
    <w:rsid w:val="00762D20"/>
    <w:rsid w:val="00763417"/>
    <w:rsid w:val="007640E0"/>
    <w:rsid w:val="007650DD"/>
    <w:rsid w:val="007652B1"/>
    <w:rsid w:val="00767A55"/>
    <w:rsid w:val="00770616"/>
    <w:rsid w:val="00770E19"/>
    <w:rsid w:val="00772B66"/>
    <w:rsid w:val="00772E22"/>
    <w:rsid w:val="00774257"/>
    <w:rsid w:val="00775505"/>
    <w:rsid w:val="00775871"/>
    <w:rsid w:val="00776AE1"/>
    <w:rsid w:val="00777410"/>
    <w:rsid w:val="00777630"/>
    <w:rsid w:val="007807CA"/>
    <w:rsid w:val="0078162F"/>
    <w:rsid w:val="0078377B"/>
    <w:rsid w:val="00783B2F"/>
    <w:rsid w:val="00785A68"/>
    <w:rsid w:val="00785C31"/>
    <w:rsid w:val="0079016E"/>
    <w:rsid w:val="00793A00"/>
    <w:rsid w:val="00795004"/>
    <w:rsid w:val="00796C00"/>
    <w:rsid w:val="007977EE"/>
    <w:rsid w:val="007A01B4"/>
    <w:rsid w:val="007A03BE"/>
    <w:rsid w:val="007A07E5"/>
    <w:rsid w:val="007A1A5F"/>
    <w:rsid w:val="007A2996"/>
    <w:rsid w:val="007A385D"/>
    <w:rsid w:val="007A3E79"/>
    <w:rsid w:val="007A7362"/>
    <w:rsid w:val="007B177F"/>
    <w:rsid w:val="007B436B"/>
    <w:rsid w:val="007B4BAB"/>
    <w:rsid w:val="007B5A17"/>
    <w:rsid w:val="007B7729"/>
    <w:rsid w:val="007B7D1E"/>
    <w:rsid w:val="007C2153"/>
    <w:rsid w:val="007C2675"/>
    <w:rsid w:val="007C348F"/>
    <w:rsid w:val="007C5BAC"/>
    <w:rsid w:val="007C66DE"/>
    <w:rsid w:val="007C6F27"/>
    <w:rsid w:val="007D0350"/>
    <w:rsid w:val="007D0768"/>
    <w:rsid w:val="007D224F"/>
    <w:rsid w:val="007D2FE4"/>
    <w:rsid w:val="007D355C"/>
    <w:rsid w:val="007D3E09"/>
    <w:rsid w:val="007D62F3"/>
    <w:rsid w:val="007D67D4"/>
    <w:rsid w:val="007D6EAD"/>
    <w:rsid w:val="007D74F5"/>
    <w:rsid w:val="007E0C8A"/>
    <w:rsid w:val="007E26F2"/>
    <w:rsid w:val="007E2951"/>
    <w:rsid w:val="007E32E8"/>
    <w:rsid w:val="007E3816"/>
    <w:rsid w:val="007E3ADE"/>
    <w:rsid w:val="007E4AF5"/>
    <w:rsid w:val="007F04ED"/>
    <w:rsid w:val="007F342D"/>
    <w:rsid w:val="007F412D"/>
    <w:rsid w:val="007F5700"/>
    <w:rsid w:val="007F7AC2"/>
    <w:rsid w:val="00802548"/>
    <w:rsid w:val="00802957"/>
    <w:rsid w:val="00802B0F"/>
    <w:rsid w:val="00807ACB"/>
    <w:rsid w:val="00814AA6"/>
    <w:rsid w:val="00814CE2"/>
    <w:rsid w:val="00815373"/>
    <w:rsid w:val="008153A8"/>
    <w:rsid w:val="00817410"/>
    <w:rsid w:val="00821DC7"/>
    <w:rsid w:val="00822EED"/>
    <w:rsid w:val="008236C5"/>
    <w:rsid w:val="00826507"/>
    <w:rsid w:val="008267EE"/>
    <w:rsid w:val="0083050D"/>
    <w:rsid w:val="00831A06"/>
    <w:rsid w:val="00831C27"/>
    <w:rsid w:val="00832E9B"/>
    <w:rsid w:val="00833D13"/>
    <w:rsid w:val="008365A8"/>
    <w:rsid w:val="00837952"/>
    <w:rsid w:val="008432ED"/>
    <w:rsid w:val="00843F7D"/>
    <w:rsid w:val="008450F3"/>
    <w:rsid w:val="00845245"/>
    <w:rsid w:val="00851871"/>
    <w:rsid w:val="00853833"/>
    <w:rsid w:val="0085497F"/>
    <w:rsid w:val="00860271"/>
    <w:rsid w:val="0086227D"/>
    <w:rsid w:val="00863FEE"/>
    <w:rsid w:val="008653E0"/>
    <w:rsid w:val="00866BD2"/>
    <w:rsid w:val="00870D6A"/>
    <w:rsid w:val="0087133B"/>
    <w:rsid w:val="00872523"/>
    <w:rsid w:val="008733D7"/>
    <w:rsid w:val="00876EAC"/>
    <w:rsid w:val="008775A8"/>
    <w:rsid w:val="0088020B"/>
    <w:rsid w:val="0088113C"/>
    <w:rsid w:val="00881CA9"/>
    <w:rsid w:val="0088500C"/>
    <w:rsid w:val="00887346"/>
    <w:rsid w:val="0089014A"/>
    <w:rsid w:val="008902CF"/>
    <w:rsid w:val="00894633"/>
    <w:rsid w:val="00894757"/>
    <w:rsid w:val="008966E9"/>
    <w:rsid w:val="008A10FA"/>
    <w:rsid w:val="008B1A08"/>
    <w:rsid w:val="008B230C"/>
    <w:rsid w:val="008B4949"/>
    <w:rsid w:val="008B4A3B"/>
    <w:rsid w:val="008B56E5"/>
    <w:rsid w:val="008B631B"/>
    <w:rsid w:val="008B7215"/>
    <w:rsid w:val="008B79D1"/>
    <w:rsid w:val="008B7F03"/>
    <w:rsid w:val="008C054B"/>
    <w:rsid w:val="008C1F77"/>
    <w:rsid w:val="008C6BE3"/>
    <w:rsid w:val="008D2F1C"/>
    <w:rsid w:val="008D3CFE"/>
    <w:rsid w:val="008D55B7"/>
    <w:rsid w:val="008D5C77"/>
    <w:rsid w:val="008D5E6C"/>
    <w:rsid w:val="008D5FF3"/>
    <w:rsid w:val="008D7F16"/>
    <w:rsid w:val="008E2F80"/>
    <w:rsid w:val="008E4534"/>
    <w:rsid w:val="008E54DB"/>
    <w:rsid w:val="008F1045"/>
    <w:rsid w:val="008F1FD1"/>
    <w:rsid w:val="008F6298"/>
    <w:rsid w:val="009018E4"/>
    <w:rsid w:val="00903AB5"/>
    <w:rsid w:val="00903BED"/>
    <w:rsid w:val="00905613"/>
    <w:rsid w:val="00905BF1"/>
    <w:rsid w:val="00907193"/>
    <w:rsid w:val="00907BE2"/>
    <w:rsid w:val="00913572"/>
    <w:rsid w:val="009140C4"/>
    <w:rsid w:val="0091436C"/>
    <w:rsid w:val="009171E7"/>
    <w:rsid w:val="00917A3B"/>
    <w:rsid w:val="0092087F"/>
    <w:rsid w:val="00920936"/>
    <w:rsid w:val="00922281"/>
    <w:rsid w:val="0092377F"/>
    <w:rsid w:val="00930DF7"/>
    <w:rsid w:val="00936821"/>
    <w:rsid w:val="009409B4"/>
    <w:rsid w:val="00940A3E"/>
    <w:rsid w:val="0094120B"/>
    <w:rsid w:val="0094276A"/>
    <w:rsid w:val="00942C75"/>
    <w:rsid w:val="009501C8"/>
    <w:rsid w:val="00951195"/>
    <w:rsid w:val="00952045"/>
    <w:rsid w:val="00952679"/>
    <w:rsid w:val="00952BA5"/>
    <w:rsid w:val="009531E1"/>
    <w:rsid w:val="00954D69"/>
    <w:rsid w:val="009554FB"/>
    <w:rsid w:val="00957EEC"/>
    <w:rsid w:val="00960A32"/>
    <w:rsid w:val="00961B5B"/>
    <w:rsid w:val="00961BAD"/>
    <w:rsid w:val="00963696"/>
    <w:rsid w:val="009642E6"/>
    <w:rsid w:val="009645E2"/>
    <w:rsid w:val="00965CCC"/>
    <w:rsid w:val="0097060A"/>
    <w:rsid w:val="009725B5"/>
    <w:rsid w:val="00972BCD"/>
    <w:rsid w:val="0097304E"/>
    <w:rsid w:val="00974377"/>
    <w:rsid w:val="0097647D"/>
    <w:rsid w:val="00976BC9"/>
    <w:rsid w:val="00977374"/>
    <w:rsid w:val="009824FC"/>
    <w:rsid w:val="00982B3A"/>
    <w:rsid w:val="00983752"/>
    <w:rsid w:val="00983EF6"/>
    <w:rsid w:val="00984237"/>
    <w:rsid w:val="00991F39"/>
    <w:rsid w:val="00994EDE"/>
    <w:rsid w:val="009959F3"/>
    <w:rsid w:val="00995FFE"/>
    <w:rsid w:val="009964B0"/>
    <w:rsid w:val="009A0E86"/>
    <w:rsid w:val="009A11C1"/>
    <w:rsid w:val="009A27F7"/>
    <w:rsid w:val="009A292D"/>
    <w:rsid w:val="009A4CAF"/>
    <w:rsid w:val="009A5C60"/>
    <w:rsid w:val="009A69B5"/>
    <w:rsid w:val="009B0D73"/>
    <w:rsid w:val="009B3167"/>
    <w:rsid w:val="009B3599"/>
    <w:rsid w:val="009B523C"/>
    <w:rsid w:val="009B6DCB"/>
    <w:rsid w:val="009B7CCB"/>
    <w:rsid w:val="009C020C"/>
    <w:rsid w:val="009C03AC"/>
    <w:rsid w:val="009C25A0"/>
    <w:rsid w:val="009C44ED"/>
    <w:rsid w:val="009C5D67"/>
    <w:rsid w:val="009C698C"/>
    <w:rsid w:val="009C718D"/>
    <w:rsid w:val="009C7A2D"/>
    <w:rsid w:val="009C7CE4"/>
    <w:rsid w:val="009D05B4"/>
    <w:rsid w:val="009D4F10"/>
    <w:rsid w:val="009E18AF"/>
    <w:rsid w:val="009E1A70"/>
    <w:rsid w:val="009E4A3B"/>
    <w:rsid w:val="009E5D88"/>
    <w:rsid w:val="009F029B"/>
    <w:rsid w:val="009F0653"/>
    <w:rsid w:val="009F1A53"/>
    <w:rsid w:val="009F1FC1"/>
    <w:rsid w:val="009F63DC"/>
    <w:rsid w:val="009F6650"/>
    <w:rsid w:val="009F7FCB"/>
    <w:rsid w:val="00A00182"/>
    <w:rsid w:val="00A00B17"/>
    <w:rsid w:val="00A07407"/>
    <w:rsid w:val="00A07695"/>
    <w:rsid w:val="00A07DCE"/>
    <w:rsid w:val="00A10177"/>
    <w:rsid w:val="00A1042E"/>
    <w:rsid w:val="00A10667"/>
    <w:rsid w:val="00A11FE1"/>
    <w:rsid w:val="00A13B2A"/>
    <w:rsid w:val="00A13B83"/>
    <w:rsid w:val="00A14608"/>
    <w:rsid w:val="00A1794D"/>
    <w:rsid w:val="00A207E1"/>
    <w:rsid w:val="00A220C6"/>
    <w:rsid w:val="00A2225A"/>
    <w:rsid w:val="00A2358C"/>
    <w:rsid w:val="00A23C33"/>
    <w:rsid w:val="00A2663A"/>
    <w:rsid w:val="00A30EB1"/>
    <w:rsid w:val="00A31C85"/>
    <w:rsid w:val="00A32B62"/>
    <w:rsid w:val="00A32C2E"/>
    <w:rsid w:val="00A33A9E"/>
    <w:rsid w:val="00A344D7"/>
    <w:rsid w:val="00A446E7"/>
    <w:rsid w:val="00A47EDF"/>
    <w:rsid w:val="00A507FE"/>
    <w:rsid w:val="00A50BF4"/>
    <w:rsid w:val="00A522F5"/>
    <w:rsid w:val="00A568B0"/>
    <w:rsid w:val="00A57829"/>
    <w:rsid w:val="00A60310"/>
    <w:rsid w:val="00A623DF"/>
    <w:rsid w:val="00A6333C"/>
    <w:rsid w:val="00A67B5E"/>
    <w:rsid w:val="00A713D2"/>
    <w:rsid w:val="00A72E16"/>
    <w:rsid w:val="00A72FB1"/>
    <w:rsid w:val="00A76003"/>
    <w:rsid w:val="00A76D78"/>
    <w:rsid w:val="00A80554"/>
    <w:rsid w:val="00A83140"/>
    <w:rsid w:val="00A83515"/>
    <w:rsid w:val="00A843DA"/>
    <w:rsid w:val="00A84830"/>
    <w:rsid w:val="00A86CDC"/>
    <w:rsid w:val="00A878D6"/>
    <w:rsid w:val="00A9227A"/>
    <w:rsid w:val="00A9241D"/>
    <w:rsid w:val="00A92D51"/>
    <w:rsid w:val="00A93AE5"/>
    <w:rsid w:val="00A94B72"/>
    <w:rsid w:val="00A97C02"/>
    <w:rsid w:val="00AA1738"/>
    <w:rsid w:val="00AA2334"/>
    <w:rsid w:val="00AA4DC4"/>
    <w:rsid w:val="00AA7844"/>
    <w:rsid w:val="00AB05C6"/>
    <w:rsid w:val="00AB66D7"/>
    <w:rsid w:val="00AB694F"/>
    <w:rsid w:val="00AC0F2B"/>
    <w:rsid w:val="00AC32C6"/>
    <w:rsid w:val="00AC5E7B"/>
    <w:rsid w:val="00AD37E5"/>
    <w:rsid w:val="00AD3CFD"/>
    <w:rsid w:val="00AD7BA1"/>
    <w:rsid w:val="00AE1C6B"/>
    <w:rsid w:val="00AE32F1"/>
    <w:rsid w:val="00AE5279"/>
    <w:rsid w:val="00AF1520"/>
    <w:rsid w:val="00AF5247"/>
    <w:rsid w:val="00AF78C6"/>
    <w:rsid w:val="00AF7CB4"/>
    <w:rsid w:val="00B00961"/>
    <w:rsid w:val="00B00E63"/>
    <w:rsid w:val="00B01ADE"/>
    <w:rsid w:val="00B01F4F"/>
    <w:rsid w:val="00B01F85"/>
    <w:rsid w:val="00B04E67"/>
    <w:rsid w:val="00B12237"/>
    <w:rsid w:val="00B12F3C"/>
    <w:rsid w:val="00B2016B"/>
    <w:rsid w:val="00B22841"/>
    <w:rsid w:val="00B24FF7"/>
    <w:rsid w:val="00B2543C"/>
    <w:rsid w:val="00B25CB1"/>
    <w:rsid w:val="00B26192"/>
    <w:rsid w:val="00B262CD"/>
    <w:rsid w:val="00B313F3"/>
    <w:rsid w:val="00B33719"/>
    <w:rsid w:val="00B40A66"/>
    <w:rsid w:val="00B44FDB"/>
    <w:rsid w:val="00B45CD8"/>
    <w:rsid w:val="00B47907"/>
    <w:rsid w:val="00B47CDF"/>
    <w:rsid w:val="00B50CF4"/>
    <w:rsid w:val="00B55BC5"/>
    <w:rsid w:val="00B55C65"/>
    <w:rsid w:val="00B569BB"/>
    <w:rsid w:val="00B569F7"/>
    <w:rsid w:val="00B56FCB"/>
    <w:rsid w:val="00B57B39"/>
    <w:rsid w:val="00B60E9C"/>
    <w:rsid w:val="00B6632A"/>
    <w:rsid w:val="00B6738C"/>
    <w:rsid w:val="00B67C18"/>
    <w:rsid w:val="00B74F9C"/>
    <w:rsid w:val="00B76A1E"/>
    <w:rsid w:val="00B801E0"/>
    <w:rsid w:val="00B803A1"/>
    <w:rsid w:val="00B8044E"/>
    <w:rsid w:val="00B8197F"/>
    <w:rsid w:val="00B83422"/>
    <w:rsid w:val="00B841C1"/>
    <w:rsid w:val="00B86083"/>
    <w:rsid w:val="00B8765A"/>
    <w:rsid w:val="00B955B3"/>
    <w:rsid w:val="00BA15F6"/>
    <w:rsid w:val="00BA5348"/>
    <w:rsid w:val="00BB0CAA"/>
    <w:rsid w:val="00BB0F66"/>
    <w:rsid w:val="00BB11A8"/>
    <w:rsid w:val="00BB2026"/>
    <w:rsid w:val="00BB7F1E"/>
    <w:rsid w:val="00BC2ABE"/>
    <w:rsid w:val="00BC3B43"/>
    <w:rsid w:val="00BC5535"/>
    <w:rsid w:val="00BD1D4B"/>
    <w:rsid w:val="00BD3A1E"/>
    <w:rsid w:val="00BE02A7"/>
    <w:rsid w:val="00BE0A84"/>
    <w:rsid w:val="00BE26EF"/>
    <w:rsid w:val="00BE2788"/>
    <w:rsid w:val="00BE29DA"/>
    <w:rsid w:val="00BE35E4"/>
    <w:rsid w:val="00BE539C"/>
    <w:rsid w:val="00BE6A4E"/>
    <w:rsid w:val="00BE6F4C"/>
    <w:rsid w:val="00BE78CF"/>
    <w:rsid w:val="00BE7E70"/>
    <w:rsid w:val="00BF460C"/>
    <w:rsid w:val="00BF5AE2"/>
    <w:rsid w:val="00BF5F9C"/>
    <w:rsid w:val="00BF646F"/>
    <w:rsid w:val="00C02F99"/>
    <w:rsid w:val="00C04B37"/>
    <w:rsid w:val="00C05D8E"/>
    <w:rsid w:val="00C06B20"/>
    <w:rsid w:val="00C06CBE"/>
    <w:rsid w:val="00C11C1D"/>
    <w:rsid w:val="00C123C3"/>
    <w:rsid w:val="00C126DF"/>
    <w:rsid w:val="00C13FDB"/>
    <w:rsid w:val="00C1466F"/>
    <w:rsid w:val="00C154CE"/>
    <w:rsid w:val="00C15DBB"/>
    <w:rsid w:val="00C17D89"/>
    <w:rsid w:val="00C20343"/>
    <w:rsid w:val="00C21C54"/>
    <w:rsid w:val="00C224CA"/>
    <w:rsid w:val="00C227C2"/>
    <w:rsid w:val="00C249A2"/>
    <w:rsid w:val="00C27A4A"/>
    <w:rsid w:val="00C444EA"/>
    <w:rsid w:val="00C446BD"/>
    <w:rsid w:val="00C44F99"/>
    <w:rsid w:val="00C45BA5"/>
    <w:rsid w:val="00C50408"/>
    <w:rsid w:val="00C50DF8"/>
    <w:rsid w:val="00C5114A"/>
    <w:rsid w:val="00C51C40"/>
    <w:rsid w:val="00C55BB5"/>
    <w:rsid w:val="00C61DCC"/>
    <w:rsid w:val="00C64953"/>
    <w:rsid w:val="00C65409"/>
    <w:rsid w:val="00C670F1"/>
    <w:rsid w:val="00C702F8"/>
    <w:rsid w:val="00C72F22"/>
    <w:rsid w:val="00C73220"/>
    <w:rsid w:val="00C745E3"/>
    <w:rsid w:val="00C7494D"/>
    <w:rsid w:val="00C75C2E"/>
    <w:rsid w:val="00C766EF"/>
    <w:rsid w:val="00C773FC"/>
    <w:rsid w:val="00C807AA"/>
    <w:rsid w:val="00C80EE6"/>
    <w:rsid w:val="00C817A7"/>
    <w:rsid w:val="00C82075"/>
    <w:rsid w:val="00C824C8"/>
    <w:rsid w:val="00C861B2"/>
    <w:rsid w:val="00C8729D"/>
    <w:rsid w:val="00CA2A8B"/>
    <w:rsid w:val="00CA5DC8"/>
    <w:rsid w:val="00CA65E9"/>
    <w:rsid w:val="00CB1784"/>
    <w:rsid w:val="00CB4339"/>
    <w:rsid w:val="00CB67B9"/>
    <w:rsid w:val="00CB6A55"/>
    <w:rsid w:val="00CC06D4"/>
    <w:rsid w:val="00CC1890"/>
    <w:rsid w:val="00CC4709"/>
    <w:rsid w:val="00CC480B"/>
    <w:rsid w:val="00CC72C5"/>
    <w:rsid w:val="00CC7310"/>
    <w:rsid w:val="00CD056C"/>
    <w:rsid w:val="00CD332E"/>
    <w:rsid w:val="00CD41C2"/>
    <w:rsid w:val="00CD4647"/>
    <w:rsid w:val="00CD7484"/>
    <w:rsid w:val="00CE00F3"/>
    <w:rsid w:val="00CE03D4"/>
    <w:rsid w:val="00CE06FC"/>
    <w:rsid w:val="00CE0DCE"/>
    <w:rsid w:val="00CE4335"/>
    <w:rsid w:val="00CE62C4"/>
    <w:rsid w:val="00CF1B87"/>
    <w:rsid w:val="00CF2918"/>
    <w:rsid w:val="00CF51A2"/>
    <w:rsid w:val="00D00A7B"/>
    <w:rsid w:val="00D03331"/>
    <w:rsid w:val="00D04A33"/>
    <w:rsid w:val="00D05245"/>
    <w:rsid w:val="00D062FA"/>
    <w:rsid w:val="00D073EA"/>
    <w:rsid w:val="00D07A87"/>
    <w:rsid w:val="00D110BB"/>
    <w:rsid w:val="00D12776"/>
    <w:rsid w:val="00D12ABA"/>
    <w:rsid w:val="00D12D35"/>
    <w:rsid w:val="00D137DF"/>
    <w:rsid w:val="00D16BE4"/>
    <w:rsid w:val="00D2092D"/>
    <w:rsid w:val="00D23228"/>
    <w:rsid w:val="00D30EB1"/>
    <w:rsid w:val="00D31AFE"/>
    <w:rsid w:val="00D332D6"/>
    <w:rsid w:val="00D346FC"/>
    <w:rsid w:val="00D351C9"/>
    <w:rsid w:val="00D35444"/>
    <w:rsid w:val="00D35A08"/>
    <w:rsid w:val="00D3691D"/>
    <w:rsid w:val="00D371C4"/>
    <w:rsid w:val="00D42657"/>
    <w:rsid w:val="00D46B28"/>
    <w:rsid w:val="00D471D1"/>
    <w:rsid w:val="00D50239"/>
    <w:rsid w:val="00D50E81"/>
    <w:rsid w:val="00D577A0"/>
    <w:rsid w:val="00D61F28"/>
    <w:rsid w:val="00D621CE"/>
    <w:rsid w:val="00D629D8"/>
    <w:rsid w:val="00D634D8"/>
    <w:rsid w:val="00D63C2D"/>
    <w:rsid w:val="00D651FF"/>
    <w:rsid w:val="00D7008E"/>
    <w:rsid w:val="00D70197"/>
    <w:rsid w:val="00D71DEB"/>
    <w:rsid w:val="00D73355"/>
    <w:rsid w:val="00D73882"/>
    <w:rsid w:val="00D738BC"/>
    <w:rsid w:val="00D754A6"/>
    <w:rsid w:val="00D76E84"/>
    <w:rsid w:val="00D80609"/>
    <w:rsid w:val="00D82BB6"/>
    <w:rsid w:val="00D87BA3"/>
    <w:rsid w:val="00D933BC"/>
    <w:rsid w:val="00D93BEF"/>
    <w:rsid w:val="00D96CBF"/>
    <w:rsid w:val="00DA100A"/>
    <w:rsid w:val="00DA1E75"/>
    <w:rsid w:val="00DA25AD"/>
    <w:rsid w:val="00DA73E5"/>
    <w:rsid w:val="00DB0090"/>
    <w:rsid w:val="00DB0CAE"/>
    <w:rsid w:val="00DB1679"/>
    <w:rsid w:val="00DB4A6C"/>
    <w:rsid w:val="00DB7777"/>
    <w:rsid w:val="00DC1FCE"/>
    <w:rsid w:val="00DC2F1C"/>
    <w:rsid w:val="00DC2F84"/>
    <w:rsid w:val="00DC3D22"/>
    <w:rsid w:val="00DC4BA2"/>
    <w:rsid w:val="00DC4D6D"/>
    <w:rsid w:val="00DC71BB"/>
    <w:rsid w:val="00DD038D"/>
    <w:rsid w:val="00DD4C8D"/>
    <w:rsid w:val="00DD7FB4"/>
    <w:rsid w:val="00DE45A1"/>
    <w:rsid w:val="00DF11F3"/>
    <w:rsid w:val="00DF1C7E"/>
    <w:rsid w:val="00DF2CF8"/>
    <w:rsid w:val="00DF4AB0"/>
    <w:rsid w:val="00DF66EE"/>
    <w:rsid w:val="00E00371"/>
    <w:rsid w:val="00E07A31"/>
    <w:rsid w:val="00E07C58"/>
    <w:rsid w:val="00E1066C"/>
    <w:rsid w:val="00E10751"/>
    <w:rsid w:val="00E10BD3"/>
    <w:rsid w:val="00E126F0"/>
    <w:rsid w:val="00E17211"/>
    <w:rsid w:val="00E17346"/>
    <w:rsid w:val="00E178D0"/>
    <w:rsid w:val="00E20D34"/>
    <w:rsid w:val="00E2219B"/>
    <w:rsid w:val="00E22461"/>
    <w:rsid w:val="00E23047"/>
    <w:rsid w:val="00E23270"/>
    <w:rsid w:val="00E23833"/>
    <w:rsid w:val="00E2596F"/>
    <w:rsid w:val="00E26920"/>
    <w:rsid w:val="00E309FD"/>
    <w:rsid w:val="00E34DD0"/>
    <w:rsid w:val="00E36B6A"/>
    <w:rsid w:val="00E3771C"/>
    <w:rsid w:val="00E403D4"/>
    <w:rsid w:val="00E50150"/>
    <w:rsid w:val="00E5049F"/>
    <w:rsid w:val="00E5054E"/>
    <w:rsid w:val="00E61308"/>
    <w:rsid w:val="00E61E70"/>
    <w:rsid w:val="00E61EE5"/>
    <w:rsid w:val="00E64653"/>
    <w:rsid w:val="00E6620A"/>
    <w:rsid w:val="00E67E38"/>
    <w:rsid w:val="00E74E9C"/>
    <w:rsid w:val="00E76995"/>
    <w:rsid w:val="00E80E43"/>
    <w:rsid w:val="00E8311C"/>
    <w:rsid w:val="00E84717"/>
    <w:rsid w:val="00E85437"/>
    <w:rsid w:val="00E87A04"/>
    <w:rsid w:val="00E922B4"/>
    <w:rsid w:val="00E94534"/>
    <w:rsid w:val="00E948E5"/>
    <w:rsid w:val="00E97970"/>
    <w:rsid w:val="00EA4003"/>
    <w:rsid w:val="00EB0151"/>
    <w:rsid w:val="00EB17C8"/>
    <w:rsid w:val="00EB2B49"/>
    <w:rsid w:val="00EB7ED2"/>
    <w:rsid w:val="00EC0049"/>
    <w:rsid w:val="00EC43C8"/>
    <w:rsid w:val="00EC44E3"/>
    <w:rsid w:val="00EC6520"/>
    <w:rsid w:val="00ED0C4B"/>
    <w:rsid w:val="00ED12D7"/>
    <w:rsid w:val="00ED1806"/>
    <w:rsid w:val="00ED296A"/>
    <w:rsid w:val="00ED3F02"/>
    <w:rsid w:val="00ED457C"/>
    <w:rsid w:val="00ED4ABD"/>
    <w:rsid w:val="00ED7E5C"/>
    <w:rsid w:val="00EE0B92"/>
    <w:rsid w:val="00EE0F0E"/>
    <w:rsid w:val="00EE19C9"/>
    <w:rsid w:val="00EE45C3"/>
    <w:rsid w:val="00EE68D2"/>
    <w:rsid w:val="00EF14B7"/>
    <w:rsid w:val="00EF44AD"/>
    <w:rsid w:val="00F014F8"/>
    <w:rsid w:val="00F03C15"/>
    <w:rsid w:val="00F05715"/>
    <w:rsid w:val="00F111EB"/>
    <w:rsid w:val="00F13937"/>
    <w:rsid w:val="00F141F1"/>
    <w:rsid w:val="00F17267"/>
    <w:rsid w:val="00F237B1"/>
    <w:rsid w:val="00F2468D"/>
    <w:rsid w:val="00F27587"/>
    <w:rsid w:val="00F307F9"/>
    <w:rsid w:val="00F3131F"/>
    <w:rsid w:val="00F31BE4"/>
    <w:rsid w:val="00F32538"/>
    <w:rsid w:val="00F34159"/>
    <w:rsid w:val="00F34A00"/>
    <w:rsid w:val="00F34D93"/>
    <w:rsid w:val="00F413B3"/>
    <w:rsid w:val="00F46C9B"/>
    <w:rsid w:val="00F50F82"/>
    <w:rsid w:val="00F535FA"/>
    <w:rsid w:val="00F61472"/>
    <w:rsid w:val="00F618F0"/>
    <w:rsid w:val="00F6191B"/>
    <w:rsid w:val="00F62AEB"/>
    <w:rsid w:val="00F65201"/>
    <w:rsid w:val="00F66A6D"/>
    <w:rsid w:val="00F707BD"/>
    <w:rsid w:val="00F72010"/>
    <w:rsid w:val="00F76279"/>
    <w:rsid w:val="00F76428"/>
    <w:rsid w:val="00F769C3"/>
    <w:rsid w:val="00F77798"/>
    <w:rsid w:val="00F77B4D"/>
    <w:rsid w:val="00F820F7"/>
    <w:rsid w:val="00F82F19"/>
    <w:rsid w:val="00F83A44"/>
    <w:rsid w:val="00F85C22"/>
    <w:rsid w:val="00F86B12"/>
    <w:rsid w:val="00F87AC6"/>
    <w:rsid w:val="00F9126D"/>
    <w:rsid w:val="00F91B05"/>
    <w:rsid w:val="00F94E53"/>
    <w:rsid w:val="00F979AC"/>
    <w:rsid w:val="00FA0D0D"/>
    <w:rsid w:val="00FA5A8C"/>
    <w:rsid w:val="00FA6353"/>
    <w:rsid w:val="00FB06CA"/>
    <w:rsid w:val="00FB32DE"/>
    <w:rsid w:val="00FB3951"/>
    <w:rsid w:val="00FB5F00"/>
    <w:rsid w:val="00FB6890"/>
    <w:rsid w:val="00FB6A34"/>
    <w:rsid w:val="00FB7A50"/>
    <w:rsid w:val="00FC0DF5"/>
    <w:rsid w:val="00FC44B5"/>
    <w:rsid w:val="00FC60F3"/>
    <w:rsid w:val="00FC6127"/>
    <w:rsid w:val="00FC7A4D"/>
    <w:rsid w:val="00FD08A0"/>
    <w:rsid w:val="00FD1889"/>
    <w:rsid w:val="00FD2456"/>
    <w:rsid w:val="00FD2E42"/>
    <w:rsid w:val="00FD4AA6"/>
    <w:rsid w:val="00FE09BB"/>
    <w:rsid w:val="00FE29AF"/>
    <w:rsid w:val="00FE2B9E"/>
    <w:rsid w:val="00FE6123"/>
    <w:rsid w:val="00FE6555"/>
    <w:rsid w:val="00FF111F"/>
    <w:rsid w:val="00FF188C"/>
    <w:rsid w:val="00FF2A73"/>
    <w:rsid w:val="00FF3A60"/>
    <w:rsid w:val="00FF5146"/>
    <w:rsid w:val="00FF51E1"/>
    <w:rsid w:val="00FF5702"/>
    <w:rsid w:val="13B75932"/>
    <w:rsid w:val="4E6F9A39"/>
    <w:rsid w:val="50EC3A5C"/>
    <w:rsid w:val="576D005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3"/>
    <w:uiPriority w:val="0"/>
    <w:rPr>
      <w:b/>
      <w:bCs/>
    </w:rPr>
  </w:style>
  <w:style w:type="table" w:styleId="12">
    <w:name w:val="Table Grid"/>
    <w:basedOn w:val="11"/>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FollowedHyperlink"/>
    <w:basedOn w:val="13"/>
    <w:qFormat/>
    <w:uiPriority w:val="0"/>
    <w:rPr>
      <w:color w:val="800080" w:themeColor="followedHyperlink"/>
      <w:u w:val="single"/>
      <w14:textFill>
        <w14:solidFill>
          <w14:schemeClr w14:val="folHlink"/>
        </w14:solidFill>
      </w14:textFill>
    </w:rPr>
  </w:style>
  <w:style w:type="character" w:styleId="16">
    <w:name w:val="Hyperlink"/>
    <w:uiPriority w:val="0"/>
    <w:rPr>
      <w:color w:val="0068B7"/>
      <w:u w:val="none"/>
    </w:rPr>
  </w:style>
  <w:style w:type="character" w:styleId="17">
    <w:name w:val="annotation reference"/>
    <w:basedOn w:val="13"/>
    <w:uiPriority w:val="0"/>
    <w:rPr>
      <w:sz w:val="21"/>
      <w:szCs w:val="21"/>
    </w:rPr>
  </w:style>
  <w:style w:type="character" w:customStyle="1" w:styleId="18">
    <w:name w:val="141"/>
    <w:qFormat/>
    <w:uiPriority w:val="0"/>
    <w:rPr>
      <w:sz w:val="21"/>
      <w:szCs w:val="21"/>
    </w:rPr>
  </w:style>
  <w:style w:type="character" w:customStyle="1" w:styleId="19">
    <w:name w:val="ztag pre"/>
    <w:basedOn w:val="13"/>
    <w:qFormat/>
    <w:uiPriority w:val="0"/>
  </w:style>
  <w:style w:type="character" w:customStyle="1" w:styleId="20">
    <w:name w:val="已访问的超链接1"/>
    <w:uiPriority w:val="0"/>
    <w:rPr>
      <w:color w:val="800080"/>
      <w:u w:val="single"/>
    </w:rPr>
  </w:style>
  <w:style w:type="paragraph" w:customStyle="1" w:styleId="21">
    <w:name w:val="列表段落1"/>
    <w:basedOn w:val="1"/>
    <w:qFormat/>
    <w:uiPriority w:val="34"/>
    <w:pPr>
      <w:ind w:firstLine="420" w:firstLineChars="200"/>
    </w:pPr>
  </w:style>
  <w:style w:type="character" w:customStyle="1" w:styleId="22">
    <w:name w:val="批注文字 字符"/>
    <w:basedOn w:val="13"/>
    <w:link w:val="3"/>
    <w:uiPriority w:val="0"/>
    <w:rPr>
      <w:kern w:val="2"/>
      <w:sz w:val="21"/>
      <w:szCs w:val="24"/>
    </w:rPr>
  </w:style>
  <w:style w:type="character" w:customStyle="1" w:styleId="23">
    <w:name w:val="批注主题 字符"/>
    <w:basedOn w:val="22"/>
    <w:link w:val="10"/>
    <w:qFormat/>
    <w:uiPriority w:val="0"/>
    <w:rPr>
      <w:b/>
      <w:bCs/>
      <w:kern w:val="2"/>
      <w:sz w:val="21"/>
      <w:szCs w:val="24"/>
    </w:rPr>
  </w:style>
  <w:style w:type="paragraph" w:customStyle="1" w:styleId="2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3381</Words>
  <Characters>3518</Characters>
  <Lines>26</Lines>
  <Paragraphs>7</Paragraphs>
  <TotalTime>233</TotalTime>
  <ScaleCrop>false</ScaleCrop>
  <LinksUpToDate>false</LinksUpToDate>
  <CharactersWithSpaces>3539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2022-04-01T01:06:00Z</dcterms:created>
  <dc:creator>全美国际教育协会</dc:creator>
  <cp:lastModifiedBy>HP</cp:lastModifiedBy>
  <cp:lastPrinted>2011-12-16T16:54:00Z</cp:lastPrinted>
  <dcterms:modified xsi:type="dcterms:W3CDTF">2023-02-28T07:02:13Z</dcterms:modified>
  <dc:title>加州大学河滨分校短期访学项目</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0F15630CFA2245179085C93C35F1B4D7</vt:lpwstr>
  </property>
</Properties>
</file>